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85C8A">
        <w:rPr>
          <w:rFonts w:ascii="Times New Roman" w:hAnsi="Times New Roman" w:cs="Times New Roman"/>
          <w:sz w:val="24"/>
          <w:szCs w:val="24"/>
        </w:rPr>
        <w:t>2</w:t>
      </w:r>
    </w:p>
    <w:p w:rsidR="00AB7458" w:rsidRDefault="006E4FAD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458">
        <w:rPr>
          <w:rFonts w:ascii="Times New Roman" w:hAnsi="Times New Roman" w:cs="Times New Roman"/>
          <w:sz w:val="24"/>
          <w:szCs w:val="24"/>
        </w:rPr>
        <w:t>распоряжению администрации муниципального</w:t>
      </w: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 Кировск Мурманской области</w:t>
      </w: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165">
        <w:rPr>
          <w:rFonts w:ascii="Times New Roman" w:hAnsi="Times New Roman" w:cs="Times New Roman"/>
          <w:sz w:val="24"/>
          <w:szCs w:val="24"/>
        </w:rPr>
        <w:t>30.08.2023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75165">
        <w:rPr>
          <w:rFonts w:ascii="Times New Roman" w:hAnsi="Times New Roman" w:cs="Times New Roman"/>
          <w:sz w:val="24"/>
          <w:szCs w:val="24"/>
        </w:rPr>
        <w:t xml:space="preserve"> 202-р</w:t>
      </w: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C8A" w:rsidRDefault="00B85C8A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85C8A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p w:rsidR="00AB7458" w:rsidRDefault="00B85C8A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5C8A">
        <w:rPr>
          <w:rFonts w:ascii="Times New Roman" w:eastAsia="Calibri" w:hAnsi="Times New Roman" w:cs="Times New Roman"/>
          <w:sz w:val="28"/>
          <w:szCs w:val="28"/>
        </w:rPr>
        <w:t>показателей</w:t>
      </w:r>
      <w:proofErr w:type="gramEnd"/>
      <w:r w:rsidRPr="00B85C8A">
        <w:rPr>
          <w:rFonts w:ascii="Times New Roman" w:eastAsia="Calibri" w:hAnsi="Times New Roman" w:cs="Times New Roman"/>
          <w:sz w:val="28"/>
          <w:szCs w:val="28"/>
        </w:rPr>
        <w:t xml:space="preserve"> эффективности реализации мероприятий</w:t>
      </w:r>
      <w:bookmarkEnd w:id="0"/>
      <w:r w:rsidRPr="00B85C8A">
        <w:rPr>
          <w:rFonts w:ascii="Times New Roman" w:eastAsia="Calibri" w:hAnsi="Times New Roman" w:cs="Times New Roman"/>
          <w:sz w:val="28"/>
          <w:szCs w:val="28"/>
        </w:rPr>
        <w:t>, проводимых в рамках апробации механизмов организации оказания муниципальных услуг в социальной сфере по направлению деятельности «реализации дополнительных общеразвивающих программ для детей» на территории муниципального округа город Кировск Мурманской области</w:t>
      </w:r>
    </w:p>
    <w:p w:rsidR="00B85C8A" w:rsidRDefault="00B85C8A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15309" w:type="dxa"/>
        <w:tblInd w:w="-5" w:type="dxa"/>
        <w:tblLook w:val="04A0" w:firstRow="1" w:lastRow="0" w:firstColumn="1" w:lastColumn="0" w:noHBand="0" w:noVBand="1"/>
      </w:tblPr>
      <w:tblGrid>
        <w:gridCol w:w="1152"/>
        <w:gridCol w:w="2752"/>
        <w:gridCol w:w="1794"/>
        <w:gridCol w:w="4679"/>
        <w:gridCol w:w="1545"/>
        <w:gridCol w:w="1545"/>
        <w:gridCol w:w="1842"/>
      </w:tblGrid>
      <w:tr w:rsidR="00B85C8A" w:rsidRPr="00B40366" w:rsidTr="00456413">
        <w:trPr>
          <w:tblHeader/>
        </w:trPr>
        <w:tc>
          <w:tcPr>
            <w:tcW w:w="1153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53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Тип индикатора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Индикатор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Базовая величина</w:t>
            </w:r>
            <w:r w:rsidRPr="00B85C8A">
              <w:rPr>
                <w:rStyle w:val="aff4"/>
                <w:rFonts w:ascii="Times New Roman" w:eastAsia="Calibri" w:hAnsi="Times New Roman" w:cs="Times New Roman"/>
              </w:rPr>
              <w:footnoteReference w:id="1"/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Целевой ориентир</w:t>
            </w:r>
            <w:r w:rsidRPr="00B85C8A">
              <w:rPr>
                <w:rStyle w:val="aff4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</w:tr>
      <w:tr w:rsidR="00B85C8A" w:rsidRPr="00B40366" w:rsidTr="00456413">
        <w:trPr>
          <w:tblHeader/>
        </w:trPr>
        <w:tc>
          <w:tcPr>
            <w:tcW w:w="1153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53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85C8A" w:rsidRPr="00B40366" w:rsidTr="00456413">
        <w:tc>
          <w:tcPr>
            <w:tcW w:w="115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5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Доля немуниципального сектора, вовлеченного в оказание муниципальных услуг по реализации дополнительных общеразвивающих программ в соответствии с социальным сертификатом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Итоговый результат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Доля юридических лиц, не являющихся муниципальными учреждениями, индивидуальных предпринимателей, вовлеченных в оказание муниципальных услуг в социальной сфере по направлению деятельности «реализации дополнительных общеразвивающих программ для детей» в соответствии с социальным сертификатом, процент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rPr>
          <w:trHeight w:val="581"/>
        </w:trPr>
        <w:tc>
          <w:tcPr>
            <w:tcW w:w="1153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53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Усиление конкуренции при выборе немуниципальных исполнителей услуг 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Уточнение/доработка актов местной администрации с учетом механизмов, предусмотренных Федеральным законом № 189-ФЗ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подготовка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завершение</w:t>
            </w:r>
            <w:proofErr w:type="gramEnd"/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Количество юридических лиц, индивидуальных предпринимателей, участвовавших в процедурах отбора исполнителей муниципальных услуг в социальной сфере (далее – исполнитель услуг) в целях оказания муниципальных услуг в социальной сфере по направлению деятельности «реализации дополнительных общеразвивающих программ для детей»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год::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них количество юридических лиц, индивидуальных предпринимателей, включенных в реестр исполнителей муниципальных услуг в социальной сфере в соответствии с социальным сертификатом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Доля юридических лиц, не являющихся муниципальными учреждениями, индивидуальных предпринимателей,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по направлению деятельности «реализация дополнительных общеразвивающих программ для детей» в общем объеме организаций, оказывающих указанные услуги, процент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 w:val="restart"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  <w:r w:rsidRPr="00B40366">
              <w:rPr>
                <w:rFonts w:eastAsia="Calibri" w:cs="Times New Roman"/>
              </w:rPr>
              <w:t>3.</w:t>
            </w:r>
          </w:p>
        </w:tc>
        <w:tc>
          <w:tcPr>
            <w:tcW w:w="2753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Увеличение охвата услугами/доступа к услугам 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Информационная кампания для потребителей муниципальных услуг в социальной сфере по направлению деятельности «реализация дополнительных общеразвивающих программ </w:t>
            </w:r>
            <w:r w:rsidRPr="00B85C8A">
              <w:rPr>
                <w:rFonts w:ascii="Times New Roman" w:eastAsia="Calibri" w:hAnsi="Times New Roman" w:cs="Times New Roman"/>
              </w:rPr>
              <w:lastRenderedPageBreak/>
              <w:t>для детей» (далее – потребитель услуг) и исполнителей услуг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lastRenderedPageBreak/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проведена</w:t>
            </w:r>
            <w:proofErr w:type="gramEnd"/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rPr>
          <w:trHeight w:val="735"/>
        </w:trPr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683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545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rPr>
          <w:trHeight w:val="735"/>
        </w:trPr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3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Общее количество потребителей муниципальных услуг в социальной сфере по направлению деятельности «реализация дополнительных общеразвивающих программ для детей», человек 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Количество потребителей услуг, получивших муниципальную услугу в социальной сфере, по направлению деятельности «реализация дополнительных общеразвивающих программ для детей» у исполнителей услуг, не являющихся муниципальными учреждениями, человек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 w:val="restart"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  <w:r w:rsidRPr="00B40366">
              <w:rPr>
                <w:rFonts w:eastAsia="Calibri" w:cs="Times New Roman"/>
              </w:rPr>
              <w:t>4.</w:t>
            </w:r>
          </w:p>
        </w:tc>
        <w:tc>
          <w:tcPr>
            <w:tcW w:w="2753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Повышение качества оказанных услуг 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Определение стандартов (порядков) оказания муниципальных услуг в социальной сфере по направлению деятельности «реализация дополнительных общеразвивающих программ для детей», и минимальных требований к качеству их оказания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да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да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Процесс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Создание системы мониторинга и оценки</w:t>
            </w:r>
            <w:r w:rsidRPr="00B85C8A">
              <w:rPr>
                <w:rFonts w:ascii="Times New Roman" w:eastAsia="Calibri" w:hAnsi="Times New Roman" w:cs="Times New Roman"/>
              </w:rPr>
              <w:br/>
              <w:t xml:space="preserve"> (в т. ч. информационной системы при наличии возможности) качества оказания муниципальных услуг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подготовка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завершение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Наличие в органе местного самоуправления, осуществляющем регулирование оказания муниципальных услуг в социальной сфере по направлению деятельности «реализация дополнительных общеразвивающих программ для детей», структурного подразделения, осуществляющего мониторинг оказания таких услуг в соответствии со стандартом (порядком) их оказания 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отсутствует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создано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Доля юридических лиц, индивидуальных предпринимателей, физических лиц – производителей товаров, работ,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оказания таких услуг в соответствии со стандартом (порядком) оказания муниципальных услуг в социальной сфере, процент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Доля соответствия показателей, определенных в рамках мероприятий по проведению </w:t>
            </w:r>
            <w:r w:rsidRPr="00B85C8A">
              <w:rPr>
                <w:rFonts w:ascii="Times New Roman" w:eastAsia="Calibri" w:hAnsi="Times New Roman" w:cs="Times New Roman"/>
              </w:rPr>
              <w:lastRenderedPageBreak/>
              <w:t>мониторинга оказания муниципальных услуг в социальной сфере по направлению деятельности «реализация дополнительных общеразвивающих программ для детей»,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lastRenderedPageBreak/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</w:t>
            </w:r>
            <w:r w:rsidRPr="00B85C8A">
              <w:rPr>
                <w:rFonts w:ascii="Times New Roman" w:eastAsia="Calibri" w:hAnsi="Times New Roman" w:cs="Times New Roman"/>
              </w:rPr>
              <w:lastRenderedPageBreak/>
              <w:t xml:space="preserve">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lastRenderedPageBreak/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</w:t>
            </w:r>
            <w:r w:rsidRPr="00B85C8A">
              <w:rPr>
                <w:rFonts w:ascii="Times New Roman" w:eastAsia="Calibri" w:hAnsi="Times New Roman" w:cs="Times New Roman"/>
              </w:rPr>
              <w:lastRenderedPageBreak/>
              <w:t xml:space="preserve">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lastRenderedPageBreak/>
              <w:t xml:space="preserve">Комитет образования, </w:t>
            </w:r>
            <w:r w:rsidRPr="00B85C8A">
              <w:rPr>
                <w:rFonts w:ascii="Times New Roman" w:eastAsia="Calibri" w:hAnsi="Times New Roman" w:cs="Times New Roman"/>
              </w:rPr>
              <w:lastRenderedPageBreak/>
              <w:t>культуры и спорта</w:t>
            </w:r>
          </w:p>
        </w:tc>
      </w:tr>
      <w:tr w:rsidR="00B85C8A" w:rsidRPr="00B40366" w:rsidTr="00456413">
        <w:tc>
          <w:tcPr>
            <w:tcW w:w="1153" w:type="dxa"/>
            <w:vMerge w:val="restart"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  <w:r w:rsidRPr="00B40366">
              <w:rPr>
                <w:rFonts w:eastAsia="Calibri" w:cs="Times New Roman"/>
              </w:rPr>
              <w:lastRenderedPageBreak/>
              <w:t>5.</w:t>
            </w:r>
          </w:p>
        </w:tc>
        <w:tc>
          <w:tcPr>
            <w:tcW w:w="2753" w:type="dxa"/>
            <w:vMerge w:val="restart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Рост удовлетворенности граждан оказанием муниципальных услуг в социальной сфере</w:t>
            </w: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Процесс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Создание механизмов обратной связи исполнителей услуг с потребителями услуг, которым указанные исполнители услуг оказали муниципальные услуги в социальной сфере по направлению деятельности «реализация дополнительных общеразвивающих программ для детей»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подготовка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механизмы созданы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Промежуточный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Доля исполнителей услуг, оказывающих муниципальные услуги в социальной сфере по направлению деятельности «реализация дополнительных общеразвивающих программ для детей», проводящих мониторинг удовлетворенности потребителей услуг, которым указанные исполнители оказали муниципальные услуги в социальной сфере по направлению деятельности «реализация дополнительных общеразвивающих программ для детей», качеством оказанных услуг, процент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>Комитет образования, культуры и спорта</w:t>
            </w:r>
          </w:p>
        </w:tc>
      </w:tr>
      <w:tr w:rsidR="00B85C8A" w:rsidRPr="00B40366" w:rsidTr="00456413">
        <w:trPr>
          <w:trHeight w:val="504"/>
        </w:trPr>
        <w:tc>
          <w:tcPr>
            <w:tcW w:w="1153" w:type="dxa"/>
            <w:vMerge/>
            <w:vAlign w:val="center"/>
          </w:tcPr>
          <w:p w:rsidR="00B85C8A" w:rsidRPr="00B40366" w:rsidRDefault="00B85C8A" w:rsidP="00456413">
            <w:pPr>
              <w:ind w:firstLine="0"/>
              <w:jc w:val="left"/>
              <w:rPr>
                <w:rFonts w:eastAsia="Calibri" w:cs="Times New Roman"/>
              </w:rPr>
            </w:pPr>
          </w:p>
        </w:tc>
        <w:tc>
          <w:tcPr>
            <w:tcW w:w="2753" w:type="dxa"/>
            <w:vMerge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Итоговый результат </w:t>
            </w:r>
          </w:p>
        </w:tc>
        <w:tc>
          <w:tcPr>
            <w:tcW w:w="4683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Процент потребителей услуг, удовлетворенных качеством муниципальных услуг в социальной сфере по направлению деятельности «реализация дополнительных общеразвивающих программ для детей», оказанных исполнителями услуг, от общего </w:t>
            </w:r>
            <w:r w:rsidRPr="00B85C8A">
              <w:rPr>
                <w:rFonts w:ascii="Times New Roman" w:eastAsia="Calibri" w:hAnsi="Times New Roman" w:cs="Times New Roman"/>
              </w:rPr>
              <w:lastRenderedPageBreak/>
              <w:t>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lastRenderedPageBreak/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lastRenderedPageBreak/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2023</w:t>
            </w:r>
          </w:p>
        </w:tc>
        <w:tc>
          <w:tcPr>
            <w:tcW w:w="1545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B85C8A">
              <w:rPr>
                <w:rFonts w:ascii="Times New Roman" w:eastAsia="Calibri" w:hAnsi="Times New Roman" w:cs="Times New Roman"/>
              </w:rPr>
              <w:lastRenderedPageBreak/>
              <w:t>значение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 xml:space="preserve"> будет определено по результатам </w:t>
            </w:r>
            <w:proofErr w:type="spellStart"/>
            <w:r w:rsidRPr="00B85C8A">
              <w:rPr>
                <w:rFonts w:ascii="Times New Roman" w:eastAsia="Calibri" w:hAnsi="Times New Roman" w:cs="Times New Roman"/>
              </w:rPr>
              <w:lastRenderedPageBreak/>
              <w:t>пофакторного</w:t>
            </w:r>
            <w:proofErr w:type="spellEnd"/>
            <w:r w:rsidRPr="00B85C8A">
              <w:rPr>
                <w:rFonts w:ascii="Times New Roman" w:eastAsia="Calibri" w:hAnsi="Times New Roman" w:cs="Times New Roman"/>
              </w:rPr>
              <w:t xml:space="preserve"> анализа</w:t>
            </w:r>
          </w:p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85C8A">
              <w:rPr>
                <w:rFonts w:ascii="Times New Roman" w:eastAsia="Calibri" w:hAnsi="Times New Roman" w:cs="Times New Roman"/>
              </w:rPr>
              <w:t>год</w:t>
            </w:r>
            <w:proofErr w:type="gramEnd"/>
            <w:r w:rsidRPr="00B85C8A">
              <w:rPr>
                <w:rFonts w:ascii="Times New Roman" w:eastAsia="Calibri" w:hAnsi="Times New Roman" w:cs="Times New Roman"/>
              </w:rPr>
              <w:t>: 2024</w:t>
            </w:r>
          </w:p>
        </w:tc>
        <w:tc>
          <w:tcPr>
            <w:tcW w:w="1842" w:type="dxa"/>
            <w:vAlign w:val="center"/>
          </w:tcPr>
          <w:p w:rsidR="00B85C8A" w:rsidRPr="00B85C8A" w:rsidRDefault="00B85C8A" w:rsidP="0045641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B85C8A">
              <w:rPr>
                <w:rFonts w:ascii="Times New Roman" w:eastAsia="Calibri" w:hAnsi="Times New Roman" w:cs="Times New Roman"/>
              </w:rPr>
              <w:lastRenderedPageBreak/>
              <w:t>Комитет образования, культуры и спорта</w:t>
            </w:r>
          </w:p>
        </w:tc>
      </w:tr>
    </w:tbl>
    <w:p w:rsidR="00AB7458" w:rsidRDefault="00AB7458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B7458" w:rsidSect="00AB7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60" w:rsidRDefault="008D3060" w:rsidP="00B85C8A">
      <w:pPr>
        <w:spacing w:after="0" w:line="240" w:lineRule="auto"/>
      </w:pPr>
      <w:r>
        <w:separator/>
      </w:r>
    </w:p>
  </w:endnote>
  <w:endnote w:type="continuationSeparator" w:id="0">
    <w:p w:rsidR="008D3060" w:rsidRDefault="008D3060" w:rsidP="00B8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60" w:rsidRDefault="008D3060" w:rsidP="00B85C8A">
      <w:pPr>
        <w:spacing w:after="0" w:line="240" w:lineRule="auto"/>
      </w:pPr>
      <w:r>
        <w:separator/>
      </w:r>
    </w:p>
  </w:footnote>
  <w:footnote w:type="continuationSeparator" w:id="0">
    <w:p w:rsidR="008D3060" w:rsidRDefault="008D3060" w:rsidP="00B85C8A">
      <w:pPr>
        <w:spacing w:after="0" w:line="240" w:lineRule="auto"/>
      </w:pPr>
      <w:r>
        <w:continuationSeparator/>
      </w:r>
    </w:p>
  </w:footnote>
  <w:footnote w:id="1">
    <w:p w:rsidR="00B85C8A" w:rsidRDefault="00B85C8A" w:rsidP="00B85C8A">
      <w:pPr>
        <w:pStyle w:val="aff2"/>
        <w:jc w:val="left"/>
      </w:pPr>
      <w:r>
        <w:rPr>
          <w:rStyle w:val="aff4"/>
        </w:rPr>
        <w:footnoteRef/>
      </w:r>
      <w:r>
        <w:t xml:space="preserve"> Значение базовой величины рекомендуется определять по первому году формирования муниципального социального заказа.</w:t>
      </w:r>
    </w:p>
    <w:p w:rsidR="00B85C8A" w:rsidRDefault="00B85C8A" w:rsidP="00B85C8A">
      <w:pPr>
        <w:pStyle w:val="aff2"/>
        <w:jc w:val="left"/>
      </w:pPr>
    </w:p>
  </w:footnote>
  <w:footnote w:id="2">
    <w:p w:rsidR="00B85C8A" w:rsidRDefault="00B85C8A" w:rsidP="00B85C8A">
      <w:pPr>
        <w:pStyle w:val="aff2"/>
        <w:jc w:val="left"/>
      </w:pPr>
      <w:r>
        <w:rPr>
          <w:rStyle w:val="aff4"/>
        </w:rPr>
        <w:footnoteRef/>
      </w:r>
      <w:r>
        <w:t xml:space="preserve"> Значение целевого ориентира рекомендуется определять для последнего года, в котором действует соглашение о сотрудничестве в сфере апробации механизмов организации оказания государственных (муниципальных) услуг в социальной сфере в соответствии с </w:t>
      </w:r>
      <w:hyperlink r:id="rId1" w:anchor="64U0IK" w:history="1">
        <w:r>
          <w:rPr>
            <w:rStyle w:val="af9"/>
          </w:rPr>
          <w:t>Федеральным законом "О государственном (муниципальном) социальном заказе на оказание государственных (муниципальных) услуг в социальной сфере"</w:t>
        </w:r>
      </w:hyperlink>
      <w:r>
        <w:t xml:space="preserve"> (далее - Федеральный закон N 189-ФЗ).</w:t>
      </w:r>
    </w:p>
    <w:p w:rsidR="00B85C8A" w:rsidRDefault="00B85C8A" w:rsidP="00B85C8A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2">
    <w:nsid w:val="4CFD4830"/>
    <w:multiLevelType w:val="hybridMultilevel"/>
    <w:tmpl w:val="14DA5988"/>
    <w:lvl w:ilvl="0" w:tplc="0922A3E2">
      <w:start w:val="1"/>
      <w:numFmt w:val="decimal"/>
      <w:lvlText w:val="%1."/>
      <w:lvlJc w:val="left"/>
      <w:pPr>
        <w:ind w:left="1428" w:hanging="360"/>
      </w:pPr>
    </w:lvl>
    <w:lvl w:ilvl="1" w:tplc="9D6487D2" w:tentative="1">
      <w:start w:val="1"/>
      <w:numFmt w:val="lowerLetter"/>
      <w:lvlText w:val="%2."/>
      <w:lvlJc w:val="left"/>
      <w:pPr>
        <w:ind w:left="2148" w:hanging="360"/>
      </w:pPr>
    </w:lvl>
    <w:lvl w:ilvl="2" w:tplc="09D6C7FC" w:tentative="1">
      <w:start w:val="1"/>
      <w:numFmt w:val="lowerRoman"/>
      <w:lvlText w:val="%3."/>
      <w:lvlJc w:val="right"/>
      <w:pPr>
        <w:ind w:left="2868" w:hanging="360"/>
      </w:pPr>
    </w:lvl>
    <w:lvl w:ilvl="3" w:tplc="97C62CE8" w:tentative="1">
      <w:start w:val="1"/>
      <w:numFmt w:val="decimal"/>
      <w:lvlText w:val="%4."/>
      <w:lvlJc w:val="left"/>
      <w:pPr>
        <w:ind w:left="3588" w:hanging="360"/>
      </w:pPr>
    </w:lvl>
    <w:lvl w:ilvl="4" w:tplc="26CA7172" w:tentative="1">
      <w:start w:val="1"/>
      <w:numFmt w:val="lowerLetter"/>
      <w:lvlText w:val="%5."/>
      <w:lvlJc w:val="left"/>
      <w:pPr>
        <w:ind w:left="4308" w:hanging="360"/>
      </w:pPr>
    </w:lvl>
    <w:lvl w:ilvl="5" w:tplc="BDEC7F3C" w:tentative="1">
      <w:start w:val="1"/>
      <w:numFmt w:val="lowerRoman"/>
      <w:lvlText w:val="%6."/>
      <w:lvlJc w:val="right"/>
      <w:pPr>
        <w:ind w:left="5028" w:hanging="360"/>
      </w:pPr>
    </w:lvl>
    <w:lvl w:ilvl="6" w:tplc="BC8A70D6" w:tentative="1">
      <w:start w:val="1"/>
      <w:numFmt w:val="decimal"/>
      <w:lvlText w:val="%7."/>
      <w:lvlJc w:val="left"/>
      <w:pPr>
        <w:ind w:left="5749" w:hanging="360"/>
      </w:pPr>
    </w:lvl>
    <w:lvl w:ilvl="7" w:tplc="5E4CEA1E" w:tentative="1">
      <w:start w:val="1"/>
      <w:numFmt w:val="lowerLetter"/>
      <w:lvlText w:val="%8."/>
      <w:lvlJc w:val="left"/>
      <w:pPr>
        <w:ind w:left="6469" w:hanging="360"/>
      </w:pPr>
    </w:lvl>
    <w:lvl w:ilvl="8" w:tplc="09F4225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3">
    <w:nsid w:val="63EA47C1"/>
    <w:multiLevelType w:val="hybridMultilevel"/>
    <w:tmpl w:val="DB8AE348"/>
    <w:lvl w:ilvl="0" w:tplc="0419000F">
      <w:start w:val="1"/>
      <w:numFmt w:val="decimal"/>
      <w:lvlText w:val="%1."/>
      <w:lvlJc w:val="left"/>
      <w:pPr>
        <w:ind w:left="1533" w:hanging="360"/>
      </w:p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4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6C2DD1"/>
    <w:multiLevelType w:val="hybridMultilevel"/>
    <w:tmpl w:val="E4088FC8"/>
    <w:lvl w:ilvl="0" w:tplc="8B969DDC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601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F29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30B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7ACB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247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00A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18D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70B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36"/>
    <w:rsid w:val="00175165"/>
    <w:rsid w:val="00245636"/>
    <w:rsid w:val="004C745D"/>
    <w:rsid w:val="006E4FAD"/>
    <w:rsid w:val="008D3060"/>
    <w:rsid w:val="009F2228"/>
    <w:rsid w:val="00AB7458"/>
    <w:rsid w:val="00AF3F96"/>
    <w:rsid w:val="00B85C8A"/>
    <w:rsid w:val="00BD41E8"/>
    <w:rsid w:val="00E656E0"/>
    <w:rsid w:val="00F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D30C-615B-4341-B6BA-D9B24664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5C8A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B85C8A"/>
    <w:pPr>
      <w:keepNext/>
      <w:keepLines/>
      <w:spacing w:before="200" w:after="0" w:line="240" w:lineRule="auto"/>
      <w:ind w:firstLine="709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58"/>
    <w:pPr>
      <w:ind w:left="720" w:firstLine="709"/>
      <w:contextualSpacing/>
    </w:pPr>
    <w:rPr>
      <w:lang w:val="en-US"/>
    </w:rPr>
  </w:style>
  <w:style w:type="table" w:customStyle="1" w:styleId="A5">
    <w:name w:val="A5"/>
    <w:basedOn w:val="a1"/>
    <w:uiPriority w:val="99"/>
    <w:rsid w:val="00AB7458"/>
    <w:pPr>
      <w:spacing w:after="0" w:line="240" w:lineRule="auto"/>
      <w:ind w:firstLine="709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AB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4"/>
    <w:uiPriority w:val="99"/>
    <w:semiHidden/>
    <w:rsid w:val="00AB74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85C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5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5C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5C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5C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5C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5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5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5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uiPriority w:val="9"/>
    <w:rsid w:val="00B85C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sid w:val="00B85C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uiPriority w:val="9"/>
    <w:rsid w:val="00B85C8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uiPriority w:val="9"/>
    <w:rsid w:val="00B85C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uiPriority w:val="9"/>
    <w:rsid w:val="00B85C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uiPriority w:val="9"/>
    <w:rsid w:val="00B85C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B85C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B85C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B85C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B85C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B85C8A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B85C8A"/>
    <w:rPr>
      <w:b/>
      <w:bCs/>
      <w:i/>
      <w:iCs/>
      <w:color w:val="5B9BD5" w:themeColor="accent1"/>
    </w:rPr>
  </w:style>
  <w:style w:type="character" w:customStyle="1" w:styleId="EndnoteTextChar">
    <w:name w:val="Endnote Text Char"/>
    <w:uiPriority w:val="99"/>
    <w:semiHidden/>
    <w:rsid w:val="00B85C8A"/>
    <w:rPr>
      <w:sz w:val="20"/>
      <w:szCs w:val="20"/>
    </w:rPr>
  </w:style>
  <w:style w:type="character" w:customStyle="1" w:styleId="PlainTextChar">
    <w:name w:val="Plain Text Char"/>
    <w:uiPriority w:val="99"/>
    <w:rsid w:val="00B85C8A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B85C8A"/>
  </w:style>
  <w:style w:type="character" w:customStyle="1" w:styleId="FooterChar">
    <w:name w:val="Footer Char"/>
    <w:uiPriority w:val="99"/>
    <w:rsid w:val="00B85C8A"/>
  </w:style>
  <w:style w:type="paragraph" w:styleId="a7">
    <w:name w:val="No Spacing"/>
    <w:link w:val="a8"/>
    <w:uiPriority w:val="1"/>
    <w:qFormat/>
    <w:rsid w:val="00B85C8A"/>
    <w:pPr>
      <w:spacing w:after="0" w:line="240" w:lineRule="auto"/>
      <w:ind w:firstLine="709"/>
      <w:jc w:val="center"/>
    </w:pPr>
  </w:style>
  <w:style w:type="character" w:customStyle="1" w:styleId="Heading1Char">
    <w:name w:val="Heading 1 Char"/>
    <w:uiPriority w:val="9"/>
    <w:rsid w:val="00B85C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Title"/>
    <w:link w:val="aa"/>
    <w:uiPriority w:val="10"/>
    <w:qFormat/>
    <w:rsid w:val="00B85C8A"/>
    <w:pPr>
      <w:pBdr>
        <w:bottom w:val="single" w:sz="8" w:space="4" w:color="5B9BD5" w:themeColor="accent1"/>
      </w:pBdr>
      <w:spacing w:after="300" w:line="240" w:lineRule="auto"/>
      <w:ind w:firstLine="709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85C8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link w:val="ac"/>
    <w:uiPriority w:val="11"/>
    <w:qFormat/>
    <w:rsid w:val="00B85C8A"/>
    <w:pPr>
      <w:spacing w:after="0" w:line="240" w:lineRule="auto"/>
      <w:ind w:firstLine="709"/>
      <w:jc w:val="center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85C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ubtle Emphasis"/>
    <w:uiPriority w:val="19"/>
    <w:qFormat/>
    <w:rsid w:val="00B85C8A"/>
    <w:rPr>
      <w:i/>
      <w:iCs/>
      <w:color w:val="808080" w:themeColor="text1" w:themeTint="7F"/>
    </w:rPr>
  </w:style>
  <w:style w:type="character" w:styleId="ae">
    <w:name w:val="Emphasis"/>
    <w:uiPriority w:val="20"/>
    <w:qFormat/>
    <w:rsid w:val="00B85C8A"/>
    <w:rPr>
      <w:i/>
      <w:iCs/>
    </w:rPr>
  </w:style>
  <w:style w:type="character" w:styleId="af">
    <w:name w:val="Intense Emphasis"/>
    <w:uiPriority w:val="21"/>
    <w:qFormat/>
    <w:rsid w:val="00B85C8A"/>
    <w:rPr>
      <w:b/>
      <w:bCs/>
      <w:i/>
      <w:iCs/>
      <w:color w:val="5B9BD5" w:themeColor="accent1"/>
    </w:rPr>
  </w:style>
  <w:style w:type="character" w:styleId="af0">
    <w:name w:val="Strong"/>
    <w:uiPriority w:val="22"/>
    <w:qFormat/>
    <w:rsid w:val="00B85C8A"/>
    <w:rPr>
      <w:b/>
      <w:bCs/>
    </w:rPr>
  </w:style>
  <w:style w:type="paragraph" w:styleId="21">
    <w:name w:val="Quote"/>
    <w:link w:val="22"/>
    <w:uiPriority w:val="29"/>
    <w:qFormat/>
    <w:rsid w:val="00B85C8A"/>
    <w:pPr>
      <w:spacing w:after="0" w:line="240" w:lineRule="auto"/>
      <w:ind w:firstLine="709"/>
      <w:jc w:val="center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5C8A"/>
    <w:rPr>
      <w:i/>
      <w:iCs/>
      <w:color w:val="000000" w:themeColor="text1"/>
    </w:rPr>
  </w:style>
  <w:style w:type="paragraph" w:styleId="af1">
    <w:name w:val="Intense Quote"/>
    <w:link w:val="af2"/>
    <w:uiPriority w:val="30"/>
    <w:qFormat/>
    <w:rsid w:val="00B85C8A"/>
    <w:pPr>
      <w:pBdr>
        <w:bottom w:val="single" w:sz="4" w:space="4" w:color="5B9BD5" w:themeColor="accent1"/>
      </w:pBdr>
      <w:spacing w:before="200" w:after="280" w:line="240" w:lineRule="auto"/>
      <w:ind w:left="936" w:right="936" w:firstLine="709"/>
      <w:jc w:val="center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B85C8A"/>
    <w:rPr>
      <w:b/>
      <w:bCs/>
      <w:i/>
      <w:iCs/>
      <w:color w:val="5B9BD5" w:themeColor="accent1"/>
    </w:rPr>
  </w:style>
  <w:style w:type="character" w:styleId="af3">
    <w:name w:val="Subtle Reference"/>
    <w:uiPriority w:val="31"/>
    <w:qFormat/>
    <w:rsid w:val="00B85C8A"/>
    <w:rPr>
      <w:smallCaps/>
      <w:color w:val="ED7D31" w:themeColor="accent2"/>
      <w:u w:val="single"/>
    </w:rPr>
  </w:style>
  <w:style w:type="character" w:styleId="af4">
    <w:name w:val="Intense Reference"/>
    <w:uiPriority w:val="32"/>
    <w:qFormat/>
    <w:rsid w:val="00B85C8A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uiPriority w:val="33"/>
    <w:qFormat/>
    <w:rsid w:val="00B85C8A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sid w:val="00B85C8A"/>
    <w:rPr>
      <w:sz w:val="20"/>
      <w:szCs w:val="20"/>
    </w:rPr>
  </w:style>
  <w:style w:type="paragraph" w:styleId="af6">
    <w:name w:val="endnote text"/>
    <w:link w:val="af7"/>
    <w:uiPriority w:val="99"/>
    <w:semiHidden/>
    <w:unhideWhenUsed/>
    <w:rsid w:val="00B85C8A"/>
    <w:pPr>
      <w:spacing w:after="0" w:line="240" w:lineRule="auto"/>
      <w:ind w:firstLine="709"/>
      <w:jc w:val="center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85C8A"/>
    <w:rPr>
      <w:sz w:val="20"/>
      <w:szCs w:val="20"/>
    </w:rPr>
  </w:style>
  <w:style w:type="character" w:styleId="af8">
    <w:name w:val="endnote reference"/>
    <w:uiPriority w:val="99"/>
    <w:semiHidden/>
    <w:unhideWhenUsed/>
    <w:rsid w:val="00B85C8A"/>
    <w:rPr>
      <w:vertAlign w:val="superscript"/>
    </w:rPr>
  </w:style>
  <w:style w:type="character" w:styleId="af9">
    <w:name w:val="Hyperlink"/>
    <w:uiPriority w:val="99"/>
    <w:unhideWhenUsed/>
    <w:rsid w:val="00B85C8A"/>
    <w:rPr>
      <w:color w:val="0563C1" w:themeColor="hyperlink"/>
      <w:u w:val="single"/>
    </w:rPr>
  </w:style>
  <w:style w:type="paragraph" w:styleId="afa">
    <w:name w:val="Plain Text"/>
    <w:link w:val="afb"/>
    <w:uiPriority w:val="99"/>
    <w:semiHidden/>
    <w:unhideWhenUsed/>
    <w:rsid w:val="00B85C8A"/>
    <w:pPr>
      <w:spacing w:after="0" w:line="240" w:lineRule="auto"/>
      <w:ind w:firstLine="709"/>
      <w:jc w:val="center"/>
    </w:pPr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B85C8A"/>
    <w:rPr>
      <w:rFonts w:ascii="Courier New" w:hAnsi="Courier New" w:cs="Courier New"/>
      <w:sz w:val="21"/>
      <w:szCs w:val="21"/>
    </w:rPr>
  </w:style>
  <w:style w:type="paragraph" w:styleId="afc">
    <w:name w:val="header"/>
    <w:link w:val="afd"/>
    <w:uiPriority w:val="99"/>
    <w:unhideWhenUsed/>
    <w:rsid w:val="00B85C8A"/>
    <w:pPr>
      <w:spacing w:after="0" w:line="240" w:lineRule="auto"/>
      <w:ind w:firstLine="709"/>
      <w:jc w:val="center"/>
    </w:pPr>
  </w:style>
  <w:style w:type="character" w:customStyle="1" w:styleId="afd">
    <w:name w:val="Верхний колонтитул Знак"/>
    <w:basedOn w:val="a0"/>
    <w:link w:val="afc"/>
    <w:uiPriority w:val="99"/>
    <w:rsid w:val="00B85C8A"/>
  </w:style>
  <w:style w:type="paragraph" w:styleId="afe">
    <w:name w:val="footer"/>
    <w:link w:val="aff"/>
    <w:uiPriority w:val="99"/>
    <w:unhideWhenUsed/>
    <w:rsid w:val="00B85C8A"/>
    <w:pPr>
      <w:spacing w:after="0" w:line="240" w:lineRule="auto"/>
      <w:ind w:firstLine="709"/>
      <w:jc w:val="center"/>
    </w:pPr>
  </w:style>
  <w:style w:type="character" w:customStyle="1" w:styleId="aff">
    <w:name w:val="Нижний колонтитул Знак"/>
    <w:basedOn w:val="a0"/>
    <w:link w:val="afe"/>
    <w:uiPriority w:val="99"/>
    <w:rsid w:val="00B85C8A"/>
  </w:style>
  <w:style w:type="paragraph" w:styleId="aff0">
    <w:name w:val="caption"/>
    <w:uiPriority w:val="35"/>
    <w:unhideWhenUsed/>
    <w:qFormat/>
    <w:rsid w:val="00B85C8A"/>
    <w:pPr>
      <w:spacing w:after="200" w:line="240" w:lineRule="auto"/>
      <w:ind w:firstLine="709"/>
      <w:jc w:val="center"/>
    </w:pPr>
    <w:rPr>
      <w:i/>
      <w:iCs/>
      <w:color w:val="44546A" w:themeColor="text2"/>
      <w:sz w:val="18"/>
      <w:szCs w:val="18"/>
    </w:rPr>
  </w:style>
  <w:style w:type="table" w:styleId="aff1">
    <w:name w:val="Table Grid"/>
    <w:basedOn w:val="a1"/>
    <w:uiPriority w:val="39"/>
    <w:rsid w:val="00B85C8A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B85C8A"/>
    <w:pPr>
      <w:widowControl w:val="0"/>
      <w:spacing w:after="0" w:line="240" w:lineRule="auto"/>
      <w:ind w:firstLine="709"/>
      <w:jc w:val="center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uiPriority w:val="39"/>
    <w:rsid w:val="00B85C8A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f2"/>
    <w:link w:val="aff3"/>
    <w:uiPriority w:val="99"/>
    <w:semiHidden/>
    <w:unhideWhenUsed/>
    <w:rsid w:val="00B85C8A"/>
    <w:pPr>
      <w:spacing w:after="0" w:line="240" w:lineRule="auto"/>
      <w:ind w:firstLine="709"/>
    </w:pPr>
    <w:rPr>
      <w:sz w:val="20"/>
      <w:szCs w:val="20"/>
      <w:lang w:val="en-US"/>
    </w:rPr>
  </w:style>
  <w:style w:type="character" w:customStyle="1" w:styleId="aff3">
    <w:name w:val="Текст сноски Знак"/>
    <w:basedOn w:val="a0"/>
    <w:link w:val="12"/>
    <w:uiPriority w:val="99"/>
    <w:semiHidden/>
    <w:rsid w:val="00B85C8A"/>
    <w:rPr>
      <w:sz w:val="20"/>
      <w:szCs w:val="20"/>
      <w:lang w:val="en-US"/>
    </w:rPr>
  </w:style>
  <w:style w:type="character" w:styleId="aff4">
    <w:name w:val="footnote reference"/>
    <w:basedOn w:val="a0"/>
    <w:uiPriority w:val="99"/>
    <w:semiHidden/>
    <w:unhideWhenUsed/>
    <w:rsid w:val="00B85C8A"/>
    <w:rPr>
      <w:vertAlign w:val="superscript"/>
    </w:rPr>
  </w:style>
  <w:style w:type="paragraph" w:styleId="aff2">
    <w:name w:val="footnote text"/>
    <w:basedOn w:val="a"/>
    <w:link w:val="13"/>
    <w:uiPriority w:val="99"/>
    <w:unhideWhenUsed/>
    <w:rsid w:val="00B85C8A"/>
    <w:pPr>
      <w:spacing w:after="0" w:line="240" w:lineRule="auto"/>
      <w:ind w:firstLine="709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f2"/>
    <w:uiPriority w:val="99"/>
    <w:rsid w:val="00B85C8A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3">
    <w:name w:val="Сетка таблицы2"/>
    <w:basedOn w:val="a1"/>
    <w:uiPriority w:val="39"/>
    <w:rsid w:val="00B85C8A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39"/>
    <w:rsid w:val="00B85C8A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text"/>
    <w:basedOn w:val="a"/>
    <w:link w:val="aff6"/>
    <w:uiPriority w:val="99"/>
    <w:unhideWhenUsed/>
    <w:rsid w:val="00B85C8A"/>
    <w:pPr>
      <w:spacing w:after="0" w:line="240" w:lineRule="auto"/>
      <w:ind w:firstLine="709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B85C8A"/>
    <w:rPr>
      <w:rFonts w:ascii="Times New Roman" w:eastAsiaTheme="minorEastAsia" w:hAnsi="Times New Roman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B85C8A"/>
    <w:rPr>
      <w:sz w:val="16"/>
      <w:szCs w:val="16"/>
    </w:rPr>
  </w:style>
  <w:style w:type="table" w:customStyle="1" w:styleId="TableNormal">
    <w:name w:val="Table Normal"/>
    <w:uiPriority w:val="99"/>
    <w:rsid w:val="00B85C8A"/>
    <w:pPr>
      <w:spacing w:after="0" w:line="240" w:lineRule="auto"/>
      <w:ind w:firstLine="709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B85C8A"/>
    <w:rPr>
      <w:b/>
      <w:bCs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B85C8A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8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56528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2023-08-30T13:57:00Z</cp:lastPrinted>
  <dcterms:created xsi:type="dcterms:W3CDTF">2023-09-20T06:25:00Z</dcterms:created>
  <dcterms:modified xsi:type="dcterms:W3CDTF">2023-09-20T06:25:00Z</dcterms:modified>
</cp:coreProperties>
</file>