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116E7E" w:rsidRDefault="005B65F5" w:rsidP="00116E7E">
      <w:pPr>
        <w:ind w:left="5760" w:firstLine="180"/>
      </w:pPr>
      <w:r>
        <w:t xml:space="preserve">                                                                                 </w:t>
      </w:r>
      <w:r w:rsidR="00116E7E">
        <w:t xml:space="preserve">Директор МУП </w:t>
      </w:r>
    </w:p>
    <w:p w:rsidR="00116E7E" w:rsidRDefault="00116E7E" w:rsidP="00116E7E">
      <w:r>
        <w:t xml:space="preserve">                                                                                                «УК </w:t>
      </w:r>
      <w:r w:rsidR="00E85FD7">
        <w:t>«</w:t>
      </w:r>
      <w:proofErr w:type="spellStart"/>
      <w:r>
        <w:t>Горэлектросеть</w:t>
      </w:r>
      <w:proofErr w:type="spellEnd"/>
      <w:r>
        <w:t>»</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D10D9A">
        <w:t>______</w:t>
      </w:r>
      <w:r w:rsidR="00E14C99">
        <w:t>______</w:t>
      </w:r>
      <w:r w:rsidR="005B65F5">
        <w:t xml:space="preserve">___ </w:t>
      </w:r>
      <w:r w:rsidR="000B62EE">
        <w:t>Т.В. Рябинина</w:t>
      </w:r>
    </w:p>
    <w:p w:rsidR="005B65F5" w:rsidRDefault="005B65F5" w:rsidP="005B65F5">
      <w:pPr>
        <w:ind w:left="4956"/>
      </w:pPr>
      <w:r>
        <w:tab/>
      </w:r>
      <w:r w:rsidR="00FE4752">
        <w:t xml:space="preserve">  </w:t>
      </w:r>
      <w:r>
        <w:t>«</w:t>
      </w:r>
      <w:r w:rsidR="00B81196">
        <w:t xml:space="preserve"> </w:t>
      </w:r>
      <w:r w:rsidR="000422A9">
        <w:t>____</w:t>
      </w:r>
      <w:r w:rsidR="00B81196">
        <w:t xml:space="preserve"> </w:t>
      </w:r>
      <w:r w:rsidR="00BF08D3">
        <w:t xml:space="preserve">» </w:t>
      </w:r>
      <w:r w:rsidR="00B81196">
        <w:t xml:space="preserve"> </w:t>
      </w:r>
      <w:r w:rsidR="000422A9">
        <w:t>_________</w:t>
      </w:r>
      <w:r>
        <w:t xml:space="preserve"> 20</w:t>
      </w:r>
      <w:r w:rsidR="00C75AD0">
        <w:t>2</w:t>
      </w:r>
      <w:r w:rsidR="000B62EE">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116E7E" w:rsidRPr="00116E7E" w:rsidRDefault="00116E7E" w:rsidP="00116E7E">
      <w:pPr>
        <w:jc w:val="center"/>
        <w:rPr>
          <w:sz w:val="28"/>
          <w:szCs w:val="28"/>
        </w:rPr>
      </w:pPr>
      <w:bookmarkStart w:id="0" w:name="_GoBack"/>
      <w:r w:rsidRPr="00116E7E">
        <w:rPr>
          <w:sz w:val="28"/>
          <w:szCs w:val="28"/>
        </w:rPr>
        <w:t xml:space="preserve">на право заключения договора аренды недвижимого </w:t>
      </w:r>
    </w:p>
    <w:p w:rsidR="00116E7E" w:rsidRPr="00116E7E" w:rsidRDefault="00116E7E" w:rsidP="00116E7E">
      <w:pPr>
        <w:jc w:val="center"/>
        <w:rPr>
          <w:sz w:val="28"/>
          <w:szCs w:val="28"/>
        </w:rPr>
      </w:pPr>
      <w:r w:rsidRPr="00116E7E">
        <w:rPr>
          <w:sz w:val="28"/>
          <w:szCs w:val="28"/>
        </w:rPr>
        <w:t xml:space="preserve">имущества, находящегося в собственности муниципального </w:t>
      </w:r>
    </w:p>
    <w:p w:rsidR="00116E7E" w:rsidRPr="00116E7E" w:rsidRDefault="00116E7E" w:rsidP="00116E7E">
      <w:pPr>
        <w:jc w:val="center"/>
        <w:rPr>
          <w:sz w:val="28"/>
          <w:szCs w:val="28"/>
        </w:rPr>
      </w:pPr>
      <w:r w:rsidRPr="00116E7E">
        <w:rPr>
          <w:sz w:val="28"/>
          <w:szCs w:val="28"/>
        </w:rPr>
        <w:t xml:space="preserve">образования </w:t>
      </w:r>
      <w:r>
        <w:rPr>
          <w:sz w:val="28"/>
          <w:szCs w:val="28"/>
        </w:rPr>
        <w:t xml:space="preserve">муниципальный округ </w:t>
      </w:r>
      <w:r w:rsidRPr="00116E7E">
        <w:rPr>
          <w:sz w:val="28"/>
          <w:szCs w:val="28"/>
        </w:rPr>
        <w:t>город Кировск с подведомственной территорией</w:t>
      </w:r>
      <w:r>
        <w:rPr>
          <w:sz w:val="28"/>
          <w:szCs w:val="28"/>
        </w:rPr>
        <w:t xml:space="preserve"> Мурманской области</w:t>
      </w:r>
      <w:r w:rsidRPr="00116E7E">
        <w:rPr>
          <w:sz w:val="28"/>
          <w:szCs w:val="28"/>
        </w:rPr>
        <w:t xml:space="preserve">, закрепленного на праве </w:t>
      </w:r>
      <w:r>
        <w:rPr>
          <w:sz w:val="28"/>
          <w:szCs w:val="28"/>
        </w:rPr>
        <w:t xml:space="preserve">хозяйственного ведения </w:t>
      </w:r>
      <w:r w:rsidRPr="00116E7E">
        <w:rPr>
          <w:sz w:val="28"/>
          <w:szCs w:val="28"/>
        </w:rPr>
        <w:t>за М</w:t>
      </w:r>
      <w:r>
        <w:rPr>
          <w:sz w:val="28"/>
          <w:szCs w:val="28"/>
        </w:rPr>
        <w:t>УП</w:t>
      </w:r>
      <w:r w:rsidRPr="00116E7E">
        <w:rPr>
          <w:sz w:val="28"/>
          <w:szCs w:val="28"/>
        </w:rPr>
        <w:t xml:space="preserve"> </w:t>
      </w:r>
      <w:r>
        <w:rPr>
          <w:sz w:val="28"/>
          <w:szCs w:val="28"/>
        </w:rPr>
        <w:t>«Управляющая компания «</w:t>
      </w:r>
      <w:proofErr w:type="spellStart"/>
      <w:r>
        <w:rPr>
          <w:sz w:val="28"/>
          <w:szCs w:val="28"/>
        </w:rPr>
        <w:t>Горэлектросеть</w:t>
      </w:r>
      <w:proofErr w:type="spellEnd"/>
      <w:r>
        <w:rPr>
          <w:sz w:val="28"/>
          <w:szCs w:val="28"/>
        </w:rPr>
        <w:t>»</w:t>
      </w:r>
      <w:bookmarkEnd w:id="0"/>
    </w:p>
    <w:p w:rsidR="00116E7E" w:rsidRPr="00116E7E" w:rsidRDefault="00116E7E" w:rsidP="00116E7E">
      <w:pPr>
        <w:jc w:val="center"/>
        <w:rPr>
          <w:sz w:val="28"/>
          <w:szCs w:val="28"/>
        </w:rPr>
      </w:pPr>
    </w:p>
    <w:p w:rsidR="00116E7E" w:rsidRPr="00116E7E" w:rsidRDefault="00116E7E" w:rsidP="00116E7E">
      <w:pPr>
        <w:jc w:val="center"/>
        <w:rPr>
          <w:sz w:val="28"/>
          <w:szCs w:val="28"/>
        </w:rPr>
      </w:pPr>
    </w:p>
    <w:p w:rsidR="005B65F5" w:rsidRDefault="00116E7E" w:rsidP="00116E7E">
      <w:pPr>
        <w:jc w:val="center"/>
        <w:rPr>
          <w:sz w:val="28"/>
        </w:rPr>
      </w:pPr>
      <w:r w:rsidRPr="00116E7E">
        <w:rPr>
          <w:sz w:val="28"/>
          <w:szCs w:val="28"/>
        </w:rPr>
        <w:t>(без ограничений по составу участников)</w:t>
      </w: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116E7E"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 xml:space="preserve">находящегося </w:t>
      </w:r>
      <w:r w:rsidR="00116E7E" w:rsidRPr="00116E7E">
        <w:t xml:space="preserve">в муниципальной собственности, закрепленного на праве </w:t>
      </w:r>
      <w:r w:rsidR="00116E7E">
        <w:t>хозяйственного ведения за</w:t>
      </w:r>
    </w:p>
    <w:p w:rsidR="007F7785" w:rsidRPr="007F7785" w:rsidRDefault="00116E7E" w:rsidP="007F7785">
      <w:pPr>
        <w:jc w:val="center"/>
      </w:pPr>
      <w:r>
        <w:t xml:space="preserve"> МУП «Управляющая компания «</w:t>
      </w:r>
      <w:proofErr w:type="spellStart"/>
      <w:r>
        <w:t>Горэлектросеть</w:t>
      </w:r>
      <w:proofErr w:type="spellEnd"/>
      <w:r>
        <w:t>»</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находящегося в муниципальной собственности, закрепленного на праве хозяйственного ведения за МУП «Управляющая компания «</w:t>
      </w:r>
      <w:proofErr w:type="spellStart"/>
      <w:r w:rsidR="007F4175">
        <w:t>Горэлектросеть</w:t>
      </w:r>
      <w:proofErr w:type="spellEnd"/>
      <w:r w:rsidR="007F4175">
        <w:t>»</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ого телефона: +79212542383 Рябинина Татьяна Валентиновна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5D71D1" w:rsidRPr="005D71D1">
        <w:rPr>
          <w:b/>
        </w:rPr>
        <w:t>16</w:t>
      </w:r>
      <w:r w:rsidR="00585E9E" w:rsidRPr="00903370">
        <w:rPr>
          <w:b/>
        </w:rPr>
        <w:t xml:space="preserve"> </w:t>
      </w:r>
      <w:r w:rsidR="005D71D1">
        <w:rPr>
          <w:b/>
        </w:rPr>
        <w:t>мая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5D71D1" w:rsidRPr="005D71D1">
        <w:rPr>
          <w:b/>
        </w:rPr>
        <w:t>06</w:t>
      </w:r>
      <w:r w:rsidRPr="00903370">
        <w:rPr>
          <w:b/>
        </w:rPr>
        <w:t xml:space="preserve"> </w:t>
      </w:r>
      <w:r w:rsidR="005D71D1">
        <w:rPr>
          <w:b/>
        </w:rPr>
        <w:t>июня</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proofErr w:type="spellStart"/>
      <w:r w:rsidR="0002433E" w:rsidRPr="00903370">
        <w:t>каб</w:t>
      </w:r>
      <w:proofErr w:type="spellEnd"/>
      <w:r w:rsidR="0002433E" w:rsidRPr="00903370">
        <w:t xml:space="preserve">. 310, </w:t>
      </w:r>
      <w:r w:rsidR="005D71D1">
        <w:t>07</w:t>
      </w:r>
      <w:r w:rsidR="0002433E" w:rsidRPr="00903370">
        <w:t xml:space="preserve"> </w:t>
      </w:r>
      <w:r w:rsidR="005D71D1">
        <w:t>июня</w:t>
      </w:r>
      <w:r w:rsidR="0002433E" w:rsidRPr="00903370">
        <w:t xml:space="preserve"> 2022 года в 1</w:t>
      </w:r>
      <w:r w:rsidR="006064E4">
        <w:t>1</w:t>
      </w:r>
      <w:r w:rsidR="0002433E" w:rsidRPr="00903370">
        <w:t xml:space="preserve"> час. 00 мин.</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5D71D1" w:rsidRPr="005D71D1">
        <w:rPr>
          <w:b/>
        </w:rPr>
        <w:t>08</w:t>
      </w:r>
      <w:r w:rsidR="00411BA1" w:rsidRPr="00411BA1">
        <w:rPr>
          <w:b/>
        </w:rPr>
        <w:t xml:space="preserve"> </w:t>
      </w:r>
      <w:r w:rsidR="005D71D1">
        <w:rPr>
          <w:b/>
        </w:rPr>
        <w:t>июня</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721BE0" w:rsidRPr="00903370">
        <w:rPr>
          <w:b/>
        </w:rPr>
        <w:t>5</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597" w:type="dxa"/>
        <w:tblInd w:w="-5" w:type="dxa"/>
        <w:tblLook w:val="01E0" w:firstRow="1" w:lastRow="1" w:firstColumn="1" w:lastColumn="1" w:noHBand="0" w:noVBand="0"/>
      </w:tblPr>
      <w:tblGrid>
        <w:gridCol w:w="526"/>
        <w:gridCol w:w="2309"/>
        <w:gridCol w:w="1843"/>
        <w:gridCol w:w="856"/>
        <w:gridCol w:w="1554"/>
        <w:gridCol w:w="2509"/>
      </w:tblGrid>
      <w:tr w:rsidR="00E20E4B" w:rsidTr="00DD249A">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309"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843"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554"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50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DD249A">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2309" w:type="dxa"/>
            <w:vAlign w:val="center"/>
          </w:tcPr>
          <w:p w:rsidR="00E20E4B" w:rsidRDefault="00824EC7" w:rsidP="000422A9">
            <w:pPr>
              <w:keepNext/>
              <w:jc w:val="center"/>
              <w:rPr>
                <w:sz w:val="15"/>
                <w:szCs w:val="15"/>
              </w:rPr>
            </w:pPr>
            <w:r w:rsidRPr="00824EC7">
              <w:rPr>
                <w:sz w:val="15"/>
                <w:szCs w:val="15"/>
              </w:rPr>
              <w:t xml:space="preserve">Жилое помещение жилищного фонда коммерческого использования, </w:t>
            </w:r>
            <w:r w:rsidR="00E20E4B" w:rsidRPr="007F4175">
              <w:rPr>
                <w:sz w:val="15"/>
                <w:szCs w:val="15"/>
              </w:rPr>
              <w:t xml:space="preserve">кадастровый номер </w:t>
            </w:r>
            <w:r w:rsidR="005D71D1" w:rsidRPr="005D71D1">
              <w:rPr>
                <w:sz w:val="15"/>
                <w:szCs w:val="15"/>
              </w:rPr>
              <w:t>51:17:0040126:416</w:t>
            </w:r>
          </w:p>
        </w:tc>
        <w:tc>
          <w:tcPr>
            <w:tcW w:w="1843" w:type="dxa"/>
            <w:vAlign w:val="center"/>
          </w:tcPr>
          <w:p w:rsidR="007176E1" w:rsidRDefault="00E20E4B" w:rsidP="00824EC7">
            <w:pPr>
              <w:keepNext/>
              <w:jc w:val="center"/>
              <w:rPr>
                <w:sz w:val="15"/>
                <w:szCs w:val="15"/>
              </w:rPr>
            </w:pPr>
            <w:r w:rsidRPr="007F4175">
              <w:rPr>
                <w:sz w:val="15"/>
                <w:szCs w:val="15"/>
              </w:rPr>
              <w:t>Мурманская обл</w:t>
            </w:r>
            <w:r w:rsidR="007176E1">
              <w:rPr>
                <w:sz w:val="15"/>
                <w:szCs w:val="15"/>
              </w:rPr>
              <w:t>асть</w:t>
            </w:r>
            <w:r w:rsidRPr="007F4175">
              <w:rPr>
                <w:sz w:val="15"/>
                <w:szCs w:val="15"/>
              </w:rPr>
              <w:t xml:space="preserve">, город Кировск, </w:t>
            </w:r>
          </w:p>
          <w:p w:rsidR="005D71D1" w:rsidRDefault="005D71D1" w:rsidP="005D71D1">
            <w:pPr>
              <w:keepNext/>
              <w:jc w:val="center"/>
              <w:rPr>
                <w:sz w:val="15"/>
                <w:szCs w:val="15"/>
              </w:rPr>
            </w:pPr>
            <w:r>
              <w:rPr>
                <w:sz w:val="15"/>
                <w:szCs w:val="15"/>
              </w:rPr>
              <w:t>ул. Солнечная</w:t>
            </w:r>
            <w:r w:rsidR="00DD249A" w:rsidRPr="00DD249A">
              <w:rPr>
                <w:sz w:val="15"/>
                <w:szCs w:val="15"/>
              </w:rPr>
              <w:t>,</w:t>
            </w:r>
            <w:r w:rsidR="007176E1">
              <w:rPr>
                <w:sz w:val="15"/>
                <w:szCs w:val="15"/>
              </w:rPr>
              <w:t xml:space="preserve"> </w:t>
            </w:r>
            <w:r w:rsidR="00DD249A" w:rsidRPr="00DD249A">
              <w:rPr>
                <w:sz w:val="15"/>
                <w:szCs w:val="15"/>
              </w:rPr>
              <w:t xml:space="preserve">д. </w:t>
            </w:r>
            <w:r>
              <w:rPr>
                <w:sz w:val="15"/>
                <w:szCs w:val="15"/>
              </w:rPr>
              <w:t>13</w:t>
            </w:r>
            <w:r w:rsidR="00DD249A" w:rsidRPr="00DD249A">
              <w:rPr>
                <w:sz w:val="15"/>
                <w:szCs w:val="15"/>
              </w:rPr>
              <w:t xml:space="preserve">, </w:t>
            </w:r>
          </w:p>
          <w:p w:rsidR="00E20E4B" w:rsidRDefault="00DD249A" w:rsidP="005D71D1">
            <w:pPr>
              <w:keepNext/>
              <w:jc w:val="center"/>
              <w:rPr>
                <w:sz w:val="15"/>
                <w:szCs w:val="15"/>
              </w:rPr>
            </w:pPr>
            <w:r w:rsidRPr="00DD249A">
              <w:rPr>
                <w:sz w:val="15"/>
                <w:szCs w:val="15"/>
              </w:rPr>
              <w:t xml:space="preserve">кв. </w:t>
            </w:r>
            <w:r w:rsidR="005D71D1">
              <w:rPr>
                <w:sz w:val="15"/>
                <w:szCs w:val="15"/>
              </w:rPr>
              <w:t>32</w:t>
            </w:r>
          </w:p>
        </w:tc>
        <w:tc>
          <w:tcPr>
            <w:tcW w:w="856" w:type="dxa"/>
            <w:vAlign w:val="center"/>
          </w:tcPr>
          <w:p w:rsidR="00E20E4B" w:rsidRDefault="005D71D1" w:rsidP="00B20717">
            <w:pPr>
              <w:keepNext/>
              <w:jc w:val="center"/>
              <w:rPr>
                <w:sz w:val="15"/>
                <w:szCs w:val="15"/>
              </w:rPr>
            </w:pPr>
            <w:r>
              <w:rPr>
                <w:sz w:val="15"/>
                <w:szCs w:val="15"/>
              </w:rPr>
              <w:t>59,7</w:t>
            </w:r>
          </w:p>
        </w:tc>
        <w:tc>
          <w:tcPr>
            <w:tcW w:w="1554" w:type="dxa"/>
          </w:tcPr>
          <w:p w:rsidR="00824EC7" w:rsidRPr="00411BA1" w:rsidRDefault="00824EC7" w:rsidP="00467B22">
            <w:pPr>
              <w:pStyle w:val="af6"/>
              <w:keepNext/>
              <w:tabs>
                <w:tab w:val="left" w:pos="176"/>
              </w:tabs>
              <w:ind w:left="55"/>
              <w:rPr>
                <w:sz w:val="15"/>
                <w:szCs w:val="15"/>
              </w:rPr>
            </w:pPr>
          </w:p>
          <w:p w:rsidR="00E20E4B" w:rsidRPr="00411BA1" w:rsidRDefault="00057E63" w:rsidP="00467B22">
            <w:pPr>
              <w:pStyle w:val="af6"/>
              <w:keepNext/>
              <w:tabs>
                <w:tab w:val="left" w:pos="176"/>
              </w:tabs>
              <w:ind w:left="55"/>
              <w:rPr>
                <w:sz w:val="15"/>
                <w:szCs w:val="15"/>
              </w:rPr>
            </w:pPr>
            <w:r>
              <w:rPr>
                <w:sz w:val="15"/>
                <w:szCs w:val="15"/>
              </w:rPr>
              <w:t>д</w:t>
            </w:r>
            <w:r w:rsidR="00411BA1" w:rsidRPr="00411BA1">
              <w:rPr>
                <w:sz w:val="15"/>
                <w:szCs w:val="15"/>
              </w:rPr>
              <w:t>ля проживания граждан</w:t>
            </w:r>
          </w:p>
        </w:tc>
        <w:tc>
          <w:tcPr>
            <w:tcW w:w="2509" w:type="dxa"/>
            <w:shd w:val="clear" w:color="auto" w:fill="auto"/>
            <w:vAlign w:val="center"/>
          </w:tcPr>
          <w:p w:rsidR="00E20E4B" w:rsidRPr="000B62EE" w:rsidRDefault="00E20E4B" w:rsidP="00467B22">
            <w:pPr>
              <w:pStyle w:val="af6"/>
              <w:keepNext/>
              <w:tabs>
                <w:tab w:val="left" w:pos="176"/>
              </w:tabs>
              <w:ind w:left="55"/>
              <w:rPr>
                <w:sz w:val="15"/>
                <w:szCs w:val="15"/>
              </w:rPr>
            </w:pPr>
            <w:r w:rsidRPr="000B62EE">
              <w:rPr>
                <w:sz w:val="15"/>
                <w:szCs w:val="15"/>
              </w:rPr>
              <w:t xml:space="preserve">Начальная цена – </w:t>
            </w:r>
            <w:r w:rsidR="00824EC7">
              <w:rPr>
                <w:sz w:val="15"/>
                <w:szCs w:val="15"/>
              </w:rPr>
              <w:t>1</w:t>
            </w:r>
            <w:r w:rsidR="007176E1">
              <w:rPr>
                <w:sz w:val="15"/>
                <w:szCs w:val="15"/>
              </w:rPr>
              <w:t>5</w:t>
            </w:r>
            <w:r w:rsidR="005D71D1">
              <w:rPr>
                <w:sz w:val="15"/>
                <w:szCs w:val="15"/>
              </w:rPr>
              <w:t xml:space="preserve"> 0</w:t>
            </w:r>
            <w:r w:rsidR="006A3B62">
              <w:rPr>
                <w:sz w:val="15"/>
                <w:szCs w:val="15"/>
              </w:rPr>
              <w:t>00,</w:t>
            </w:r>
            <w:proofErr w:type="gramStart"/>
            <w:r w:rsidR="006A3B62">
              <w:rPr>
                <w:sz w:val="15"/>
                <w:szCs w:val="15"/>
              </w:rPr>
              <w:t>00</w:t>
            </w:r>
            <w:r w:rsidRPr="000B62EE">
              <w:rPr>
                <w:sz w:val="15"/>
                <w:szCs w:val="15"/>
              </w:rPr>
              <w:t xml:space="preserve">  руб.</w:t>
            </w:r>
            <w:proofErr w:type="gramEnd"/>
          </w:p>
          <w:p w:rsidR="00E20E4B" w:rsidRPr="000B62EE" w:rsidRDefault="00E20E4B" w:rsidP="00467B22">
            <w:pPr>
              <w:keepNext/>
              <w:ind w:left="55"/>
              <w:rPr>
                <w:sz w:val="15"/>
                <w:szCs w:val="15"/>
              </w:rPr>
            </w:pPr>
            <w:r w:rsidRPr="000B62EE">
              <w:rPr>
                <w:sz w:val="15"/>
                <w:szCs w:val="15"/>
              </w:rPr>
              <w:t xml:space="preserve">Шаг аукциона – </w:t>
            </w:r>
            <w:r w:rsidR="007176E1">
              <w:rPr>
                <w:sz w:val="15"/>
                <w:szCs w:val="15"/>
              </w:rPr>
              <w:t>75</w:t>
            </w:r>
            <w:r w:rsidR="005D71D1">
              <w:rPr>
                <w:sz w:val="15"/>
                <w:szCs w:val="15"/>
              </w:rPr>
              <w:t>0</w:t>
            </w:r>
            <w:r w:rsidR="006A3B62">
              <w:rPr>
                <w:sz w:val="15"/>
                <w:szCs w:val="15"/>
              </w:rPr>
              <w:t>,00</w:t>
            </w:r>
            <w:r w:rsidRPr="000B62EE">
              <w:rPr>
                <w:sz w:val="15"/>
                <w:szCs w:val="15"/>
              </w:rPr>
              <w:t xml:space="preserve"> руб.</w:t>
            </w:r>
          </w:p>
          <w:p w:rsidR="00E20E4B" w:rsidRPr="000B62EE" w:rsidRDefault="00E20E4B" w:rsidP="0007345D">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057E63">
        <w:rPr>
          <w:bCs/>
        </w:rPr>
        <w:t>11 месяцев</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0" w:history="1">
        <w:proofErr w:type="gramEnd"/>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w:t>
      </w:r>
      <w:r w:rsidR="002F7E10" w:rsidRPr="002F7E10">
        <w:lastRenderedPageBreak/>
        <w:t xml:space="preserve">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proofErr w:type="gramStart"/>
      <w:r>
        <w:t>.</w:t>
      </w:r>
      <w:proofErr w:type="gramEnd"/>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lastRenderedPageBreak/>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lastRenderedPageBreak/>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w:t>
      </w:r>
      <w:r w:rsidRPr="000C298D">
        <w:rPr>
          <w:rFonts w:ascii="Times New Roman" w:hAnsi="Times New Roman" w:cs="Times New Roman"/>
          <w:sz w:val="24"/>
          <w:szCs w:val="24"/>
        </w:rPr>
        <w:lastRenderedPageBreak/>
        <w:t>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lastRenderedPageBreak/>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 xml:space="preserve">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w:t>
      </w:r>
      <w:r>
        <w:lastRenderedPageBreak/>
        <w:t>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w:t>
      </w:r>
      <w:r w:rsidR="007D38A0">
        <w:lastRenderedPageBreak/>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t xml:space="preserve">11.2. </w:t>
      </w:r>
      <w:r w:rsidR="009054D5" w:rsidRPr="0083198B">
        <w:t>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lastRenderedPageBreak/>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C1111A" w:rsidRPr="00495725" w:rsidRDefault="00C1111A" w:rsidP="00C1111A">
      <w:pPr>
        <w:jc w:val="center"/>
      </w:pPr>
      <w:r w:rsidRPr="00495725">
        <w:t>город Кировск с подведомственной территорией</w:t>
      </w:r>
      <w:r w:rsidR="00251B81">
        <w:t xml:space="preserve"> Мурманской области, закрепленного на праве хозяйственного ведения за МУП «Управляющая компания «</w:t>
      </w:r>
      <w:proofErr w:type="spellStart"/>
      <w:r w:rsidR="00251B81">
        <w:t>Горэлектросеть</w:t>
      </w:r>
      <w:proofErr w:type="spellEnd"/>
      <w:r w:rsidR="00251B81">
        <w:t>»</w:t>
      </w:r>
    </w:p>
    <w:p w:rsidR="00C1111A" w:rsidRPr="00495725" w:rsidRDefault="00C1111A" w:rsidP="00C1111A">
      <w:pPr>
        <w:jc w:val="center"/>
        <w:rPr>
          <w:color w:val="000000" w:themeColor="text1"/>
        </w:rPr>
      </w:pPr>
      <w:r w:rsidRPr="00495725">
        <w:rPr>
          <w:color w:val="000000" w:themeColor="text1"/>
        </w:rPr>
        <w:lastRenderedPageBreak/>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lastRenderedPageBreak/>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lastRenderedPageBreak/>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FE75DA" w:rsidRPr="00BF630A" w:rsidRDefault="00FE75DA" w:rsidP="00FE75DA">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w:t>
      </w:r>
      <w:r>
        <w:rPr>
          <w:sz w:val="18"/>
          <w:szCs w:val="18"/>
        </w:rPr>
        <w:t>2</w:t>
      </w:r>
      <w:r w:rsidRPr="00BF630A">
        <w:rPr>
          <w:sz w:val="18"/>
          <w:szCs w:val="18"/>
        </w:rPr>
        <w:t xml:space="preserve"> г.</w:t>
      </w:r>
    </w:p>
    <w:p w:rsidR="00FE75DA" w:rsidRPr="00BF630A" w:rsidRDefault="00FE75DA" w:rsidP="00FE75DA">
      <w:pPr>
        <w:jc w:val="both"/>
        <w:rPr>
          <w:sz w:val="18"/>
          <w:szCs w:val="18"/>
        </w:rPr>
      </w:pPr>
    </w:p>
    <w:p w:rsidR="00FE75DA" w:rsidRPr="00BF630A" w:rsidRDefault="00FE75DA" w:rsidP="00FE75DA">
      <w:pPr>
        <w:jc w:val="both"/>
        <w:rPr>
          <w:sz w:val="18"/>
          <w:szCs w:val="18"/>
        </w:rPr>
      </w:pPr>
      <w:r w:rsidRPr="00FE75DA">
        <w:rPr>
          <w:sz w:val="18"/>
          <w:szCs w:val="18"/>
        </w:rPr>
        <w:t>Муниципальное унитарное предприятие «Управляющая компания «</w:t>
      </w:r>
      <w:proofErr w:type="spellStart"/>
      <w:r w:rsidRPr="00FE75DA">
        <w:rPr>
          <w:sz w:val="18"/>
          <w:szCs w:val="18"/>
        </w:rPr>
        <w:t>Горэлектросеть</w:t>
      </w:r>
      <w:proofErr w:type="spellEnd"/>
      <w:r w:rsidRPr="00FE75DA">
        <w:rPr>
          <w:sz w:val="18"/>
          <w:szCs w:val="18"/>
        </w:rPr>
        <w:t>», в лице директора Рябининой Татьяны Валентиновны, действующей на основании Устава предприятия</w:t>
      </w:r>
      <w:r w:rsidRPr="00BF630A">
        <w:rPr>
          <w:sz w:val="18"/>
          <w:szCs w:val="18"/>
        </w:rPr>
        <w:t>, именуем</w:t>
      </w:r>
      <w:r>
        <w:rPr>
          <w:sz w:val="18"/>
          <w:szCs w:val="18"/>
        </w:rPr>
        <w:t>ое</w:t>
      </w:r>
      <w:r w:rsidRPr="00BF630A">
        <w:rPr>
          <w:sz w:val="18"/>
          <w:szCs w:val="18"/>
        </w:rPr>
        <w:t xml:space="preserve"> в дальнейшем Арендодатель, с одной стороны, и _______________________________________________________________________________, именуемый  в  дальнейшем  Арендатор,  с  другой   стороны, </w:t>
      </w:r>
      <w:r>
        <w:rPr>
          <w:sz w:val="18"/>
          <w:szCs w:val="18"/>
        </w:rPr>
        <w:t>на основании __________________________________________________________-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1. Предмет договора.</w:t>
      </w:r>
    </w:p>
    <w:p w:rsidR="00FE75DA" w:rsidRPr="00BF630A" w:rsidRDefault="00FE75DA" w:rsidP="00FE75DA">
      <w:pPr>
        <w:jc w:val="both"/>
        <w:rPr>
          <w:sz w:val="18"/>
          <w:szCs w:val="18"/>
        </w:rPr>
      </w:pPr>
      <w:r w:rsidRPr="00BF630A">
        <w:rPr>
          <w:sz w:val="18"/>
          <w:szCs w:val="18"/>
        </w:rPr>
        <w:t xml:space="preserve">    1.1. Арендодатель передает Арендатору во временное владение и пользование за </w:t>
      </w:r>
      <w:proofErr w:type="gramStart"/>
      <w:r w:rsidRPr="00BF630A">
        <w:rPr>
          <w:sz w:val="18"/>
          <w:szCs w:val="18"/>
        </w:rPr>
        <w:t>плату  изолированное</w:t>
      </w:r>
      <w:proofErr w:type="gramEnd"/>
      <w:r w:rsidRPr="00BF630A">
        <w:rPr>
          <w:sz w:val="18"/>
          <w:szCs w:val="18"/>
        </w:rPr>
        <w:t xml:space="preserve">  жилое  помещение,  жилищного фонда коммерческого использования города Кировска, общей  площадью _____ кв. м, по адресу:_________________________________, для</w:t>
      </w:r>
      <w:r>
        <w:rPr>
          <w:sz w:val="18"/>
          <w:szCs w:val="18"/>
        </w:rPr>
        <w:t xml:space="preserve"> ____________________</w:t>
      </w:r>
      <w:r w:rsidRPr="00BF630A">
        <w:rPr>
          <w:sz w:val="18"/>
          <w:szCs w:val="18"/>
        </w:rPr>
        <w:t>,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FE75DA" w:rsidRPr="00BF630A" w:rsidRDefault="00FE75DA" w:rsidP="00FE75DA">
      <w:pPr>
        <w:jc w:val="both"/>
        <w:rPr>
          <w:sz w:val="18"/>
          <w:szCs w:val="18"/>
        </w:rPr>
      </w:pPr>
      <w:r w:rsidRPr="00BF630A">
        <w:rPr>
          <w:sz w:val="18"/>
          <w:szCs w:val="18"/>
        </w:rPr>
        <w:t xml:space="preserve">    1.2. Срок действия Договора устанавливается:</w:t>
      </w:r>
    </w:p>
    <w:p w:rsidR="00FE75DA" w:rsidRPr="00BF630A" w:rsidRDefault="00FE75DA" w:rsidP="00FE75DA">
      <w:pPr>
        <w:jc w:val="both"/>
        <w:rPr>
          <w:sz w:val="18"/>
          <w:szCs w:val="18"/>
        </w:rPr>
      </w:pPr>
      <w:r w:rsidRPr="00BF630A">
        <w:rPr>
          <w:sz w:val="18"/>
          <w:szCs w:val="18"/>
        </w:rPr>
        <w:t xml:space="preserve">             </w:t>
      </w:r>
      <w:proofErr w:type="gramStart"/>
      <w:r w:rsidRPr="00BF630A">
        <w:rPr>
          <w:sz w:val="18"/>
          <w:szCs w:val="18"/>
        </w:rPr>
        <w:t>начало:  _</w:t>
      </w:r>
      <w:proofErr w:type="gramEnd"/>
      <w:r w:rsidRPr="00BF630A">
        <w:rPr>
          <w:sz w:val="18"/>
          <w:szCs w:val="18"/>
        </w:rPr>
        <w:t>_____________                    окончание:  ___________________</w:t>
      </w:r>
    </w:p>
    <w:p w:rsidR="00FE75DA" w:rsidRPr="00BF630A" w:rsidRDefault="00FE75DA" w:rsidP="00FE75DA">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FE75DA" w:rsidRDefault="00FE75DA" w:rsidP="00FE75DA">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2. Обязанности сторон.</w:t>
      </w:r>
    </w:p>
    <w:p w:rsidR="00FE75DA" w:rsidRPr="00BF630A" w:rsidRDefault="00FE75DA" w:rsidP="00FE75DA">
      <w:pPr>
        <w:jc w:val="both"/>
        <w:rPr>
          <w:sz w:val="18"/>
          <w:szCs w:val="18"/>
        </w:rPr>
      </w:pPr>
      <w:r w:rsidRPr="00BF630A">
        <w:rPr>
          <w:sz w:val="18"/>
          <w:szCs w:val="18"/>
        </w:rPr>
        <w:t>2.1. Арендатор обязан:</w:t>
      </w:r>
    </w:p>
    <w:p w:rsidR="00FE75DA" w:rsidRPr="00BF630A" w:rsidRDefault="00FE75DA" w:rsidP="00FE75DA">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 xml:space="preserve">б) своевременно и в полном объеме вносить арендную плату в соответствии с условиями Договора и в порядке, установленном </w:t>
      </w:r>
      <w:proofErr w:type="gramStart"/>
      <w:r w:rsidRPr="00BF630A">
        <w:rPr>
          <w:sz w:val="18"/>
          <w:szCs w:val="18"/>
        </w:rPr>
        <w:t>разделом  4</w:t>
      </w:r>
      <w:proofErr w:type="gramEnd"/>
      <w:r w:rsidRPr="00BF630A">
        <w:rPr>
          <w:sz w:val="18"/>
          <w:szCs w:val="18"/>
        </w:rPr>
        <w:t xml:space="preserve"> Договора;</w:t>
      </w:r>
    </w:p>
    <w:p w:rsidR="00FE75DA" w:rsidRPr="00BF630A" w:rsidRDefault="00FE75DA" w:rsidP="00FE75DA">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FE75DA" w:rsidRPr="00BF630A" w:rsidRDefault="00FE75DA" w:rsidP="00FE75DA">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FE75DA" w:rsidRPr="00BF630A" w:rsidRDefault="00FE75DA" w:rsidP="00FE75DA">
      <w:pPr>
        <w:jc w:val="both"/>
        <w:rPr>
          <w:sz w:val="18"/>
          <w:szCs w:val="18"/>
        </w:rPr>
      </w:pPr>
      <w:r w:rsidRPr="00BF630A">
        <w:rPr>
          <w:sz w:val="18"/>
          <w:szCs w:val="18"/>
        </w:rPr>
        <w:t>г) соблюдать правила пользования жилыми помещениями;</w:t>
      </w:r>
    </w:p>
    <w:p w:rsidR="00FE75DA" w:rsidRPr="00BF630A" w:rsidRDefault="00FE75DA" w:rsidP="00FE75DA">
      <w:pPr>
        <w:jc w:val="both"/>
        <w:rPr>
          <w:sz w:val="18"/>
          <w:szCs w:val="18"/>
        </w:rPr>
      </w:pPr>
      <w:r w:rsidRPr="00BF630A">
        <w:rPr>
          <w:sz w:val="18"/>
          <w:szCs w:val="18"/>
        </w:rPr>
        <w:t>д) использовать жилое помещение в соответствии с его назначением;</w:t>
      </w:r>
    </w:p>
    <w:p w:rsidR="00FE75DA" w:rsidRPr="00BF630A" w:rsidRDefault="00FE75DA" w:rsidP="00FE75DA">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FE75DA" w:rsidRPr="00BF630A" w:rsidRDefault="00FE75DA" w:rsidP="00FE75DA">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FE75DA" w:rsidRPr="00BF630A" w:rsidRDefault="00FE75DA" w:rsidP="00FE75DA">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FE75DA" w:rsidRPr="00BF630A" w:rsidRDefault="00FE75DA" w:rsidP="00FE75DA">
      <w:pPr>
        <w:jc w:val="both"/>
        <w:rPr>
          <w:sz w:val="18"/>
          <w:szCs w:val="18"/>
        </w:rPr>
      </w:pPr>
      <w:r w:rsidRPr="00BF630A">
        <w:rPr>
          <w:sz w:val="18"/>
          <w:szCs w:val="18"/>
        </w:rPr>
        <w:t>и) производить текущий ремонт занимаемого жилого помещения;</w:t>
      </w:r>
    </w:p>
    <w:p w:rsidR="00FE75DA" w:rsidRPr="00BF630A" w:rsidRDefault="00FE75DA" w:rsidP="00FE75DA">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FE75DA" w:rsidRPr="00BF630A" w:rsidRDefault="00FE75DA" w:rsidP="00FE75DA">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FE75DA" w:rsidRPr="00BF630A" w:rsidRDefault="00FE75DA" w:rsidP="00FE75DA">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FE75DA" w:rsidRPr="00BF630A" w:rsidRDefault="00FE75DA" w:rsidP="00FE75DA">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FE75DA" w:rsidRPr="00BF630A" w:rsidRDefault="00FE75DA" w:rsidP="00FE75DA">
      <w:pPr>
        <w:jc w:val="both"/>
        <w:rPr>
          <w:sz w:val="18"/>
          <w:szCs w:val="18"/>
        </w:rPr>
      </w:pPr>
      <w:r w:rsidRPr="00BF630A">
        <w:rPr>
          <w:sz w:val="18"/>
          <w:szCs w:val="18"/>
        </w:rPr>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FE75DA" w:rsidRPr="00BF630A" w:rsidRDefault="00FE75DA" w:rsidP="00FE75DA">
      <w:pPr>
        <w:jc w:val="both"/>
        <w:rPr>
          <w:sz w:val="18"/>
          <w:szCs w:val="18"/>
        </w:rPr>
      </w:pPr>
      <w:r w:rsidRPr="00BF630A">
        <w:rPr>
          <w:sz w:val="18"/>
          <w:szCs w:val="18"/>
        </w:rPr>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r w:rsidRPr="00BF630A">
        <w:rPr>
          <w:sz w:val="18"/>
          <w:szCs w:val="18"/>
        </w:rPr>
        <w:lastRenderedPageBreak/>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FE75DA" w:rsidRPr="00BF630A" w:rsidRDefault="00FE75DA" w:rsidP="00FE75DA">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2.2. Арендодатель обязан:</w:t>
      </w:r>
    </w:p>
    <w:p w:rsidR="00FE75DA" w:rsidRPr="00BF630A" w:rsidRDefault="00FE75DA" w:rsidP="00FE75DA">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FE75DA" w:rsidRPr="00BF630A" w:rsidRDefault="00FE75DA" w:rsidP="00FE75DA">
      <w:pPr>
        <w:jc w:val="both"/>
        <w:rPr>
          <w:sz w:val="18"/>
          <w:szCs w:val="18"/>
        </w:rPr>
      </w:pPr>
      <w:r w:rsidRPr="00BF630A">
        <w:rPr>
          <w:sz w:val="18"/>
          <w:szCs w:val="18"/>
        </w:rPr>
        <w:t>в) осуществлять капитальный ремонт жилого помещения;</w:t>
      </w:r>
    </w:p>
    <w:p w:rsidR="00FE75DA" w:rsidRPr="00BF630A" w:rsidRDefault="00FE75DA" w:rsidP="00FE75DA">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FE75DA" w:rsidRPr="00BF630A" w:rsidRDefault="00FE75DA" w:rsidP="00FE75DA">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FE75DA" w:rsidRPr="00BF630A" w:rsidRDefault="00FE75DA" w:rsidP="00FE75DA">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FE75DA" w:rsidRPr="00BF630A" w:rsidRDefault="00FE75DA" w:rsidP="00FE75DA">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FE75DA" w:rsidRPr="00BF630A" w:rsidRDefault="00FE75DA" w:rsidP="00FE75DA">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E75DA" w:rsidRPr="00BF630A" w:rsidRDefault="00FE75DA" w:rsidP="00FE75DA">
      <w:pPr>
        <w:jc w:val="both"/>
        <w:rPr>
          <w:sz w:val="18"/>
          <w:szCs w:val="18"/>
        </w:rPr>
      </w:pPr>
      <w:r w:rsidRPr="00BF630A">
        <w:rPr>
          <w:sz w:val="18"/>
          <w:szCs w:val="18"/>
        </w:rPr>
        <w:t>ж) информировать Арендатора об изменении размера арендной платы за жилое помещение не менее чем за 30 дней до срока внесения арендной платы;</w:t>
      </w:r>
    </w:p>
    <w:p w:rsidR="00FE75DA" w:rsidRPr="00BF630A" w:rsidRDefault="00FE75DA" w:rsidP="00FE75DA">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FE75DA" w:rsidRPr="00BF630A" w:rsidRDefault="00FE75DA" w:rsidP="00FE75DA">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3. Права сторон.</w:t>
      </w:r>
    </w:p>
    <w:p w:rsidR="00FE75DA" w:rsidRPr="00BF630A" w:rsidRDefault="00FE75DA" w:rsidP="00FE75DA">
      <w:pPr>
        <w:jc w:val="both"/>
        <w:rPr>
          <w:sz w:val="18"/>
          <w:szCs w:val="18"/>
        </w:rPr>
      </w:pPr>
      <w:r w:rsidRPr="00BF630A">
        <w:rPr>
          <w:sz w:val="18"/>
          <w:szCs w:val="18"/>
        </w:rPr>
        <w:t>3.1. Арендатор вправе:</w:t>
      </w:r>
    </w:p>
    <w:p w:rsidR="00FE75DA" w:rsidRPr="00BF630A" w:rsidRDefault="00FE75DA" w:rsidP="00FE75DA">
      <w:pPr>
        <w:jc w:val="both"/>
        <w:rPr>
          <w:sz w:val="18"/>
          <w:szCs w:val="18"/>
        </w:rPr>
      </w:pPr>
      <w:r w:rsidRPr="00BF630A">
        <w:rPr>
          <w:sz w:val="18"/>
          <w:szCs w:val="18"/>
        </w:rPr>
        <w:t>а) пользоваться общим имуществом многоквартирного дома;</w:t>
      </w:r>
    </w:p>
    <w:p w:rsidR="00FE75DA" w:rsidRPr="00BF630A" w:rsidRDefault="00FE75DA" w:rsidP="00FE75DA">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FE75DA" w:rsidRPr="00BF630A" w:rsidRDefault="00FE75DA" w:rsidP="00FE75DA">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3.2. Арендодатель вправе:</w:t>
      </w:r>
    </w:p>
    <w:p w:rsidR="00FE75DA" w:rsidRPr="00BF630A" w:rsidRDefault="00FE75DA" w:rsidP="00FE75DA">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FE75DA" w:rsidRPr="00BF630A" w:rsidRDefault="00FE75DA" w:rsidP="00FE75DA">
      <w:pPr>
        <w:jc w:val="both"/>
        <w:rPr>
          <w:sz w:val="18"/>
          <w:szCs w:val="18"/>
        </w:rPr>
      </w:pPr>
      <w:r w:rsidRPr="00BF630A">
        <w:rPr>
          <w:sz w:val="18"/>
          <w:szCs w:val="18"/>
        </w:rPr>
        <w:t>б) изменять размер арендной платы за жилое помещение не чаще одного раза в год;</w:t>
      </w:r>
    </w:p>
    <w:p w:rsidR="00FE75DA" w:rsidRPr="00BF630A" w:rsidRDefault="00FE75DA" w:rsidP="00FE75DA">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4. Плата за жилое помещение и коммунальные услуги.</w:t>
      </w:r>
    </w:p>
    <w:p w:rsidR="00FE75DA" w:rsidRPr="00BF630A" w:rsidRDefault="00FE75DA" w:rsidP="00FE75DA">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FE75DA" w:rsidRPr="00BF630A" w:rsidRDefault="00FE75DA" w:rsidP="00FE75DA">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FE75DA" w:rsidRPr="00BF630A" w:rsidRDefault="00FE75DA" w:rsidP="00FE75DA">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FE75DA" w:rsidRPr="00BF630A" w:rsidRDefault="00FE75DA" w:rsidP="00FE75DA">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FE75DA" w:rsidRPr="00BF630A" w:rsidRDefault="00FE75DA" w:rsidP="00FE75DA">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FE75DA" w:rsidRPr="00FE75DA" w:rsidRDefault="00FE75DA" w:rsidP="00FE75DA">
      <w:pPr>
        <w:jc w:val="both"/>
        <w:rPr>
          <w:sz w:val="18"/>
          <w:szCs w:val="18"/>
          <w:highlight w:val="yellow"/>
        </w:rPr>
      </w:pPr>
      <w:r w:rsidRPr="00FE75DA">
        <w:rPr>
          <w:sz w:val="18"/>
          <w:szCs w:val="18"/>
          <w:highlight w:val="yellow"/>
        </w:rPr>
        <w:t>4.5. Арендная плата за жилое помещение вносится ежемесячно не позднее последнего дня месяца.</w:t>
      </w:r>
    </w:p>
    <w:p w:rsidR="00FE75DA" w:rsidRPr="00FE75DA" w:rsidRDefault="00FE75DA" w:rsidP="00FE75DA">
      <w:pPr>
        <w:jc w:val="both"/>
        <w:rPr>
          <w:sz w:val="18"/>
          <w:szCs w:val="18"/>
          <w:highlight w:val="yellow"/>
        </w:rPr>
      </w:pPr>
      <w:r w:rsidRPr="00FE75DA">
        <w:rPr>
          <w:sz w:val="18"/>
          <w:szCs w:val="18"/>
          <w:highlight w:val="yellow"/>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FE75DA" w:rsidRPr="00FE75DA" w:rsidRDefault="00FE75DA" w:rsidP="00FE75DA">
      <w:pPr>
        <w:jc w:val="both"/>
        <w:rPr>
          <w:sz w:val="18"/>
          <w:szCs w:val="18"/>
          <w:highlight w:val="yellow"/>
        </w:rPr>
      </w:pPr>
      <w:r w:rsidRPr="00FE75DA">
        <w:rPr>
          <w:sz w:val="18"/>
          <w:szCs w:val="18"/>
          <w:highlight w:val="yellow"/>
        </w:rPr>
        <w:t xml:space="preserve">4.7. Арендная плата за жилое помещение перечисляется Арендатором по следующим реквизитам: </w:t>
      </w:r>
    </w:p>
    <w:p w:rsidR="00FE75DA" w:rsidRPr="00FE75DA" w:rsidRDefault="00FE75DA" w:rsidP="00FE75DA">
      <w:pPr>
        <w:jc w:val="both"/>
        <w:rPr>
          <w:sz w:val="18"/>
          <w:szCs w:val="18"/>
          <w:highlight w:val="yellow"/>
        </w:rPr>
      </w:pPr>
    </w:p>
    <w:p w:rsidR="00FE75DA" w:rsidRPr="00FE75DA" w:rsidRDefault="00FE75DA" w:rsidP="00FE75DA">
      <w:pPr>
        <w:jc w:val="both"/>
        <w:rPr>
          <w:sz w:val="18"/>
          <w:szCs w:val="18"/>
          <w:highlight w:val="yellow"/>
        </w:rPr>
      </w:pPr>
    </w:p>
    <w:p w:rsidR="00FE75DA" w:rsidRPr="00BF630A" w:rsidRDefault="00FE75DA" w:rsidP="00FE75DA">
      <w:pPr>
        <w:jc w:val="both"/>
        <w:rPr>
          <w:sz w:val="18"/>
          <w:szCs w:val="18"/>
        </w:rPr>
      </w:pPr>
      <w:r w:rsidRPr="00FE75DA">
        <w:rPr>
          <w:sz w:val="18"/>
          <w:szCs w:val="18"/>
          <w:highlight w:val="yellow"/>
        </w:rPr>
        <w:t>с обязательным указанием в платежном документе Арендатора, адреса жилого помещения, за которое перечисляется арендная плата.</w:t>
      </w:r>
      <w:r w:rsidRPr="00BF630A">
        <w:rPr>
          <w:sz w:val="18"/>
          <w:szCs w:val="18"/>
        </w:rPr>
        <w:t xml:space="preserve"> </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5. Порядок изменения, расторжения и прекращения договора.</w:t>
      </w:r>
    </w:p>
    <w:p w:rsidR="00FE75DA" w:rsidRPr="00BF630A" w:rsidRDefault="00FE75DA" w:rsidP="00FE75DA">
      <w:pPr>
        <w:jc w:val="both"/>
        <w:rPr>
          <w:sz w:val="18"/>
          <w:szCs w:val="18"/>
        </w:rPr>
      </w:pPr>
      <w:r w:rsidRPr="00BF630A">
        <w:rPr>
          <w:sz w:val="18"/>
          <w:szCs w:val="18"/>
        </w:rPr>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FE75DA" w:rsidRPr="00BF630A" w:rsidRDefault="00FE75DA" w:rsidP="00FE75DA">
      <w:pPr>
        <w:jc w:val="both"/>
        <w:rPr>
          <w:sz w:val="18"/>
          <w:szCs w:val="18"/>
        </w:rPr>
      </w:pPr>
      <w:r w:rsidRPr="00BF630A">
        <w:rPr>
          <w:sz w:val="18"/>
          <w:szCs w:val="18"/>
        </w:rPr>
        <w:t>а) использование Арендатором жилого помещения не по назначению;</w:t>
      </w:r>
    </w:p>
    <w:p w:rsidR="00FE75DA" w:rsidRPr="00BF630A" w:rsidRDefault="00FE75DA" w:rsidP="00FE75DA">
      <w:pPr>
        <w:jc w:val="both"/>
        <w:rPr>
          <w:sz w:val="18"/>
          <w:szCs w:val="18"/>
        </w:rPr>
      </w:pPr>
      <w:r w:rsidRPr="00BF630A">
        <w:rPr>
          <w:sz w:val="18"/>
          <w:szCs w:val="18"/>
        </w:rPr>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FE75DA" w:rsidRPr="00BF630A" w:rsidRDefault="00FE75DA" w:rsidP="00FE75DA">
      <w:pPr>
        <w:jc w:val="both"/>
        <w:rPr>
          <w:sz w:val="18"/>
          <w:szCs w:val="18"/>
        </w:rPr>
      </w:pPr>
      <w:r w:rsidRPr="00BF630A">
        <w:rPr>
          <w:sz w:val="18"/>
          <w:szCs w:val="18"/>
        </w:rPr>
        <w:t>в) систематическое нарушение Арендатором прав и законных интересов третьих лиц;</w:t>
      </w:r>
    </w:p>
    <w:p w:rsidR="00FE75DA" w:rsidRPr="00BF630A" w:rsidRDefault="00FE75DA" w:rsidP="00FE75DA">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FE75DA" w:rsidRPr="00BF630A" w:rsidRDefault="00FE75DA" w:rsidP="00FE75DA">
      <w:pPr>
        <w:jc w:val="both"/>
        <w:rPr>
          <w:sz w:val="18"/>
          <w:szCs w:val="18"/>
        </w:rPr>
      </w:pPr>
      <w:r w:rsidRPr="00BF630A">
        <w:rPr>
          <w:sz w:val="18"/>
          <w:szCs w:val="18"/>
        </w:rPr>
        <w:lastRenderedPageBreak/>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FE75DA" w:rsidRPr="00BF630A" w:rsidRDefault="00FE75DA" w:rsidP="00FE75DA">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FE75DA" w:rsidRPr="00BF630A" w:rsidRDefault="00FE75DA" w:rsidP="00FE75DA">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FE75DA" w:rsidRPr="00BF630A" w:rsidRDefault="00FE75DA" w:rsidP="00FE75DA">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FE75DA" w:rsidRPr="00BF630A" w:rsidRDefault="00FE75DA" w:rsidP="00FE75DA">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6. Прочие условия.</w:t>
      </w:r>
    </w:p>
    <w:p w:rsidR="00FE75DA" w:rsidRPr="00BF630A" w:rsidRDefault="00FE75DA" w:rsidP="00FE75DA">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E75DA" w:rsidRPr="00BF630A" w:rsidRDefault="00FE75DA" w:rsidP="00FE75DA">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FE75DA" w:rsidRPr="00BF630A" w:rsidRDefault="00FE75DA" w:rsidP="00FE75DA">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FE75DA" w:rsidRPr="00BF630A" w:rsidRDefault="00FE75DA" w:rsidP="00FE75DA">
      <w:pPr>
        <w:jc w:val="both"/>
        <w:rPr>
          <w:sz w:val="18"/>
          <w:szCs w:val="18"/>
        </w:rPr>
      </w:pPr>
      <w:r w:rsidRPr="00BF630A">
        <w:rPr>
          <w:sz w:val="18"/>
          <w:szCs w:val="18"/>
        </w:rPr>
        <w:t>6.4.  К договору прилагается:</w:t>
      </w:r>
    </w:p>
    <w:p w:rsidR="00FE75DA" w:rsidRPr="00BF630A" w:rsidRDefault="00FE75DA" w:rsidP="00FE75DA">
      <w:pPr>
        <w:jc w:val="both"/>
        <w:rPr>
          <w:sz w:val="18"/>
          <w:szCs w:val="18"/>
        </w:rPr>
      </w:pPr>
      <w:r w:rsidRPr="00BF630A">
        <w:rPr>
          <w:sz w:val="18"/>
          <w:szCs w:val="18"/>
        </w:rPr>
        <w:t>- акт приема – передачи жилого помещения (приложение №1)</w:t>
      </w:r>
    </w:p>
    <w:p w:rsidR="00FE75DA" w:rsidRPr="00BF630A" w:rsidRDefault="00FE75DA" w:rsidP="00FE75DA">
      <w:pPr>
        <w:ind w:right="-759" w:hanging="1701"/>
        <w:jc w:val="both"/>
        <w:rPr>
          <w:b/>
          <w:sz w:val="18"/>
          <w:szCs w:val="18"/>
        </w:rPr>
      </w:pPr>
      <w:r w:rsidRPr="00BF630A">
        <w:rPr>
          <w:b/>
          <w:sz w:val="18"/>
          <w:szCs w:val="18"/>
        </w:rPr>
        <w:t xml:space="preserve">   </w:t>
      </w:r>
    </w:p>
    <w:p w:rsidR="00FE75DA" w:rsidRPr="00BF630A" w:rsidRDefault="00FE75DA" w:rsidP="00FE75DA">
      <w:pPr>
        <w:ind w:left="-851" w:firstLine="284"/>
        <w:jc w:val="both"/>
        <w:rPr>
          <w:sz w:val="18"/>
          <w:szCs w:val="18"/>
        </w:rPr>
      </w:pPr>
    </w:p>
    <w:p w:rsidR="00FE75DA" w:rsidRPr="00BF630A" w:rsidRDefault="00FE75DA" w:rsidP="00FE75DA">
      <w:pPr>
        <w:ind w:firstLine="540"/>
        <w:jc w:val="center"/>
        <w:rPr>
          <w:b/>
          <w:sz w:val="18"/>
          <w:szCs w:val="18"/>
        </w:rPr>
      </w:pPr>
      <w:r w:rsidRPr="00BF630A">
        <w:rPr>
          <w:b/>
          <w:sz w:val="18"/>
          <w:szCs w:val="18"/>
        </w:rPr>
        <w:t>7. Юридические адреса и реквизиты сторон:</w:t>
      </w:r>
    </w:p>
    <w:p w:rsidR="00FE75DA" w:rsidRPr="00E656D6" w:rsidRDefault="00FE75DA" w:rsidP="00FE75DA">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FE75DA" w:rsidRPr="00310137" w:rsidTr="00E74DED">
        <w:tc>
          <w:tcPr>
            <w:tcW w:w="4819" w:type="dxa"/>
            <w:tcBorders>
              <w:top w:val="single" w:sz="1" w:space="0" w:color="000000"/>
              <w:left w:val="single" w:sz="1" w:space="0" w:color="000000"/>
              <w:bottom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FE75DA" w:rsidRPr="00310137" w:rsidTr="00E74DED">
        <w:tc>
          <w:tcPr>
            <w:tcW w:w="4819" w:type="dxa"/>
            <w:tcBorders>
              <w:left w:val="single" w:sz="1" w:space="0" w:color="000000"/>
              <w:bottom w:val="single" w:sz="1" w:space="0" w:color="000000"/>
            </w:tcBorders>
            <w:shd w:val="clear" w:color="auto" w:fill="auto"/>
          </w:tcPr>
          <w:p w:rsidR="002C4992"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 xml:space="preserve">Муниципальное унитарное предприятие </w:t>
            </w:r>
          </w:p>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«Управляющая компания «</w:t>
            </w:r>
            <w:proofErr w:type="spellStart"/>
            <w:r>
              <w:rPr>
                <w:rFonts w:eastAsia="SimSun"/>
                <w:kern w:val="1"/>
                <w:sz w:val="18"/>
                <w:szCs w:val="18"/>
                <w:lang w:eastAsia="hi-IN" w:bidi="hi-IN"/>
              </w:rPr>
              <w:t>Горэлектросеть</w:t>
            </w:r>
            <w:proofErr w:type="spellEnd"/>
            <w:r>
              <w:rPr>
                <w:rFonts w:eastAsia="SimSun"/>
                <w:kern w:val="1"/>
                <w:sz w:val="18"/>
                <w:szCs w:val="18"/>
                <w:lang w:eastAsia="hi-IN" w:bidi="hi-IN"/>
              </w:rPr>
              <w:t>»</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p>
        </w:tc>
      </w:tr>
      <w:tr w:rsidR="00FE75DA" w:rsidRPr="00310137" w:rsidTr="00E74DED">
        <w:trPr>
          <w:trHeight w:val="2838"/>
        </w:trPr>
        <w:tc>
          <w:tcPr>
            <w:tcW w:w="4819" w:type="dxa"/>
            <w:tcBorders>
              <w:left w:val="single" w:sz="1" w:space="0" w:color="000000"/>
              <w:bottom w:val="single" w:sz="1" w:space="0" w:color="000000"/>
            </w:tcBorders>
            <w:shd w:val="clear" w:color="auto" w:fill="auto"/>
          </w:tcPr>
          <w:p w:rsidR="00FE75DA" w:rsidRPr="002C4992" w:rsidRDefault="00FE75DA" w:rsidP="00FE75DA">
            <w:pPr>
              <w:widowControl w:val="0"/>
              <w:suppressLineNumbers/>
              <w:suppressAutoHyphens/>
              <w:spacing w:line="240" w:lineRule="exact"/>
              <w:jc w:val="both"/>
              <w:rPr>
                <w:rFonts w:eastAsia="SimSun"/>
                <w:kern w:val="1"/>
                <w:sz w:val="18"/>
                <w:szCs w:val="18"/>
                <w:highlight w:val="yellow"/>
                <w:lang w:eastAsia="hi-IN" w:bidi="hi-IN"/>
              </w:rPr>
            </w:pPr>
            <w:r w:rsidRPr="002C4992">
              <w:rPr>
                <w:rFonts w:eastAsia="SimSun"/>
                <w:kern w:val="1"/>
                <w:sz w:val="18"/>
                <w:szCs w:val="18"/>
                <w:highlight w:val="yellow"/>
                <w:lang w:eastAsia="hi-IN" w:bidi="hi-IN"/>
              </w:rPr>
              <w:t xml:space="preserve">Юридический адрес: </w:t>
            </w:r>
          </w:p>
          <w:p w:rsidR="00FE75DA" w:rsidRPr="002C4992" w:rsidRDefault="00FE75DA" w:rsidP="00FE75DA">
            <w:pPr>
              <w:widowControl w:val="0"/>
              <w:suppressLineNumbers/>
              <w:suppressAutoHyphens/>
              <w:spacing w:line="240" w:lineRule="exact"/>
              <w:jc w:val="both"/>
              <w:rPr>
                <w:rFonts w:eastAsia="SimSun"/>
                <w:kern w:val="1"/>
                <w:sz w:val="18"/>
                <w:szCs w:val="18"/>
                <w:highlight w:val="yellow"/>
                <w:lang w:eastAsia="hi-IN" w:bidi="hi-IN"/>
              </w:rPr>
            </w:pPr>
          </w:p>
          <w:p w:rsidR="00FE75DA" w:rsidRPr="002C4992" w:rsidRDefault="00FE75DA" w:rsidP="00FE75DA">
            <w:pPr>
              <w:widowControl w:val="0"/>
              <w:suppressLineNumbers/>
              <w:suppressAutoHyphens/>
              <w:spacing w:line="240" w:lineRule="exact"/>
              <w:jc w:val="both"/>
              <w:rPr>
                <w:rFonts w:eastAsia="SimSun"/>
                <w:kern w:val="1"/>
                <w:sz w:val="18"/>
                <w:szCs w:val="18"/>
                <w:highlight w:val="yellow"/>
                <w:lang w:eastAsia="hi-IN" w:bidi="hi-IN"/>
              </w:rPr>
            </w:pPr>
            <w:r w:rsidRPr="002C4992">
              <w:rPr>
                <w:rFonts w:eastAsia="SimSun"/>
                <w:kern w:val="1"/>
                <w:sz w:val="18"/>
                <w:szCs w:val="18"/>
                <w:highlight w:val="yellow"/>
                <w:lang w:eastAsia="hi-IN" w:bidi="hi-IN"/>
              </w:rPr>
              <w:t>Реквизиты</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tabs>
                <w:tab w:val="left" w:pos="289"/>
              </w:tabs>
              <w:ind w:right="435"/>
              <w:rPr>
                <w:rFonts w:eastAsia="SimSun"/>
                <w:kern w:val="1"/>
                <w:sz w:val="18"/>
                <w:szCs w:val="18"/>
                <w:lang w:eastAsia="hi-IN" w:bidi="hi-IN"/>
              </w:rPr>
            </w:pPr>
          </w:p>
        </w:tc>
      </w:tr>
    </w:tbl>
    <w:p w:rsidR="00FE75DA" w:rsidRDefault="00FE75DA" w:rsidP="00FE75DA">
      <w:pPr>
        <w:tabs>
          <w:tab w:val="left" w:pos="0"/>
        </w:tabs>
        <w:suppressAutoHyphens/>
        <w:ind w:right="-2"/>
        <w:rPr>
          <w:b/>
          <w:sz w:val="18"/>
          <w:szCs w:val="20"/>
        </w:rPr>
      </w:pPr>
    </w:p>
    <w:p w:rsidR="00FE75DA" w:rsidRPr="00BF630A" w:rsidRDefault="00FE75DA" w:rsidP="00FE75DA">
      <w:pPr>
        <w:tabs>
          <w:tab w:val="left" w:pos="0"/>
        </w:tabs>
        <w:suppressAutoHyphens/>
        <w:ind w:right="-2"/>
        <w:rPr>
          <w:sz w:val="18"/>
          <w:szCs w:val="18"/>
        </w:rPr>
      </w:pPr>
      <w:r w:rsidRPr="00E656D6">
        <w:rPr>
          <w:sz w:val="18"/>
          <w:szCs w:val="18"/>
        </w:rPr>
        <w:t xml:space="preserve"> </w:t>
      </w:r>
    </w:p>
    <w:p w:rsidR="00FE75DA" w:rsidRPr="00BF630A" w:rsidRDefault="00FE75DA" w:rsidP="00FE75DA">
      <w:pPr>
        <w:keepNext/>
        <w:tabs>
          <w:tab w:val="left" w:pos="7655"/>
        </w:tabs>
        <w:ind w:left="-851"/>
        <w:jc w:val="center"/>
        <w:outlineLvl w:val="5"/>
        <w:rPr>
          <w:b/>
          <w:sz w:val="18"/>
          <w:szCs w:val="18"/>
        </w:rPr>
      </w:pPr>
      <w:proofErr w:type="gramStart"/>
      <w:r w:rsidRPr="00BF630A">
        <w:rPr>
          <w:b/>
          <w:sz w:val="18"/>
          <w:szCs w:val="18"/>
        </w:rPr>
        <w:t>ПОДПИСИ  СТОРОН</w:t>
      </w:r>
      <w:proofErr w:type="gramEnd"/>
      <w:r w:rsidRPr="00BF630A">
        <w:rPr>
          <w:b/>
          <w:sz w:val="18"/>
          <w:szCs w:val="18"/>
        </w:rPr>
        <w:t>:</w:t>
      </w:r>
    </w:p>
    <w:p w:rsidR="00FE75DA" w:rsidRPr="00BF630A" w:rsidRDefault="00FE75DA" w:rsidP="00FE75DA">
      <w:pPr>
        <w:keepNext/>
        <w:tabs>
          <w:tab w:val="left" w:pos="7655"/>
        </w:tabs>
        <w:ind w:hanging="851"/>
        <w:outlineLvl w:val="6"/>
        <w:rPr>
          <w:b/>
          <w:sz w:val="18"/>
          <w:szCs w:val="18"/>
        </w:rPr>
      </w:pPr>
      <w:r w:rsidRPr="00BF630A">
        <w:rPr>
          <w:b/>
          <w:sz w:val="18"/>
          <w:szCs w:val="18"/>
        </w:rPr>
        <w:t xml:space="preserve">                 </w:t>
      </w:r>
    </w:p>
    <w:p w:rsidR="00FE75DA" w:rsidRPr="00BF630A" w:rsidRDefault="00FE75DA" w:rsidP="00FE75DA">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FE75DA" w:rsidRPr="00BF630A" w:rsidRDefault="00FE75DA" w:rsidP="00FE75DA">
      <w:pPr>
        <w:tabs>
          <w:tab w:val="left" w:pos="7655"/>
        </w:tabs>
        <w:ind w:hanging="567"/>
        <w:rPr>
          <w:sz w:val="18"/>
          <w:szCs w:val="18"/>
        </w:rPr>
      </w:pPr>
    </w:p>
    <w:p w:rsidR="00FE75DA" w:rsidRPr="00BF630A" w:rsidRDefault="00FE75DA" w:rsidP="00FE75DA">
      <w:pPr>
        <w:tabs>
          <w:tab w:val="left" w:pos="7655"/>
        </w:tabs>
        <w:ind w:hanging="567"/>
        <w:rPr>
          <w:sz w:val="18"/>
          <w:szCs w:val="18"/>
        </w:rPr>
      </w:pPr>
    </w:p>
    <w:p w:rsidR="00FE75DA" w:rsidRPr="00BF630A" w:rsidRDefault="00FE75DA" w:rsidP="00FE75DA">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FE75DA" w:rsidRPr="00BF630A" w:rsidRDefault="00FE75DA" w:rsidP="00FE75DA">
      <w:pPr>
        <w:ind w:hanging="567"/>
        <w:rPr>
          <w:sz w:val="18"/>
          <w:szCs w:val="18"/>
        </w:rPr>
      </w:pPr>
      <w:r w:rsidRPr="00BF630A">
        <w:rPr>
          <w:sz w:val="18"/>
          <w:szCs w:val="18"/>
        </w:rPr>
        <w:tab/>
        <w:t xml:space="preserve">            </w:t>
      </w:r>
      <w:r w:rsidR="002C4992">
        <w:rPr>
          <w:sz w:val="18"/>
          <w:szCs w:val="18"/>
        </w:rPr>
        <w:t>Т.В. РЯБИНИНА</w:t>
      </w:r>
    </w:p>
    <w:p w:rsidR="00FE75DA" w:rsidRPr="00BF630A" w:rsidRDefault="00FE75DA" w:rsidP="00FE75DA">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F6626C" w:rsidRDefault="00F6626C" w:rsidP="00834FA3">
      <w:pPr>
        <w:pStyle w:val="ConsPlusTitle"/>
        <w:widowControl/>
        <w:jc w:val="center"/>
        <w:rPr>
          <w:rFonts w:ascii="Times New Roman" w:hAnsi="Times New Roman" w:cs="Times New Roman"/>
          <w:sz w:val="18"/>
          <w:szCs w:val="18"/>
        </w:rPr>
      </w:pPr>
    </w:p>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BA" w:rsidRDefault="00D678BA">
      <w:r>
        <w:separator/>
      </w:r>
    </w:p>
  </w:endnote>
  <w:endnote w:type="continuationSeparator" w:id="0">
    <w:p w:rsidR="00D678BA" w:rsidRDefault="00D6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24EC7" w:rsidRDefault="00824EC7"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8000C">
      <w:rPr>
        <w:rStyle w:val="af1"/>
        <w:noProof/>
      </w:rPr>
      <w:t>17</w:t>
    </w:r>
    <w:r>
      <w:rPr>
        <w:rStyle w:val="af1"/>
      </w:rPr>
      <w:fldChar w:fldCharType="end"/>
    </w:r>
  </w:p>
  <w:p w:rsidR="00824EC7" w:rsidRDefault="00824EC7"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BA" w:rsidRDefault="00D678BA">
      <w:r>
        <w:separator/>
      </w:r>
    </w:p>
  </w:footnote>
  <w:footnote w:type="continuationSeparator" w:id="0">
    <w:p w:rsidR="00D678BA" w:rsidRDefault="00D67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2433E"/>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64D22"/>
    <w:rsid w:val="0007345D"/>
    <w:rsid w:val="00073E45"/>
    <w:rsid w:val="000800CA"/>
    <w:rsid w:val="000852B8"/>
    <w:rsid w:val="00086DE4"/>
    <w:rsid w:val="0008792A"/>
    <w:rsid w:val="00092136"/>
    <w:rsid w:val="00095E87"/>
    <w:rsid w:val="0009719C"/>
    <w:rsid w:val="000A3AEE"/>
    <w:rsid w:val="000A5685"/>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A73B5"/>
    <w:rsid w:val="002B2BA0"/>
    <w:rsid w:val="002B566F"/>
    <w:rsid w:val="002C07E3"/>
    <w:rsid w:val="002C4992"/>
    <w:rsid w:val="002C7D95"/>
    <w:rsid w:val="002D0622"/>
    <w:rsid w:val="002D17AC"/>
    <w:rsid w:val="002D1D45"/>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68F9"/>
    <w:rsid w:val="003B795B"/>
    <w:rsid w:val="003C05B3"/>
    <w:rsid w:val="003C1A3B"/>
    <w:rsid w:val="003C27C0"/>
    <w:rsid w:val="003C78FB"/>
    <w:rsid w:val="003D3669"/>
    <w:rsid w:val="003D6D28"/>
    <w:rsid w:val="003E0CAD"/>
    <w:rsid w:val="003F04DB"/>
    <w:rsid w:val="003F35AB"/>
    <w:rsid w:val="003F4826"/>
    <w:rsid w:val="00400721"/>
    <w:rsid w:val="00400C27"/>
    <w:rsid w:val="004027D8"/>
    <w:rsid w:val="00406FE3"/>
    <w:rsid w:val="004072A6"/>
    <w:rsid w:val="00410D88"/>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85E9E"/>
    <w:rsid w:val="00595851"/>
    <w:rsid w:val="00596D1A"/>
    <w:rsid w:val="005A0E1E"/>
    <w:rsid w:val="005A12C3"/>
    <w:rsid w:val="005A1542"/>
    <w:rsid w:val="005A2B4A"/>
    <w:rsid w:val="005A4350"/>
    <w:rsid w:val="005A55FC"/>
    <w:rsid w:val="005A6EF9"/>
    <w:rsid w:val="005A7902"/>
    <w:rsid w:val="005B3610"/>
    <w:rsid w:val="005B65F5"/>
    <w:rsid w:val="005C2255"/>
    <w:rsid w:val="005C2305"/>
    <w:rsid w:val="005D0222"/>
    <w:rsid w:val="005D71D1"/>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17AB"/>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24EC7"/>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5F65"/>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394F"/>
    <w:rsid w:val="00A47F6F"/>
    <w:rsid w:val="00A51D94"/>
    <w:rsid w:val="00A52DF6"/>
    <w:rsid w:val="00A53910"/>
    <w:rsid w:val="00A708C5"/>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3AC0"/>
    <w:rsid w:val="00B35401"/>
    <w:rsid w:val="00B40C32"/>
    <w:rsid w:val="00B40D40"/>
    <w:rsid w:val="00B42B97"/>
    <w:rsid w:val="00B434B1"/>
    <w:rsid w:val="00B43A61"/>
    <w:rsid w:val="00B440ED"/>
    <w:rsid w:val="00B45D86"/>
    <w:rsid w:val="00B47F7C"/>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6003F"/>
    <w:rsid w:val="00C6112F"/>
    <w:rsid w:val="00C66E1C"/>
    <w:rsid w:val="00C75102"/>
    <w:rsid w:val="00C75AD0"/>
    <w:rsid w:val="00C8000C"/>
    <w:rsid w:val="00C81552"/>
    <w:rsid w:val="00C9151F"/>
    <w:rsid w:val="00C930A8"/>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678BA"/>
    <w:rsid w:val="00D70CD3"/>
    <w:rsid w:val="00D7480D"/>
    <w:rsid w:val="00D74ED9"/>
    <w:rsid w:val="00D903A0"/>
    <w:rsid w:val="00D92DF8"/>
    <w:rsid w:val="00D9358D"/>
    <w:rsid w:val="00D96DD5"/>
    <w:rsid w:val="00D976FF"/>
    <w:rsid w:val="00DA36D5"/>
    <w:rsid w:val="00DB2F20"/>
    <w:rsid w:val="00DB4D23"/>
    <w:rsid w:val="00DD249A"/>
    <w:rsid w:val="00DE15B0"/>
    <w:rsid w:val="00DE3B1E"/>
    <w:rsid w:val="00DE52DD"/>
    <w:rsid w:val="00DF261E"/>
    <w:rsid w:val="00DF2720"/>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825CB"/>
    <w:rsid w:val="00E8536E"/>
    <w:rsid w:val="00E8541E"/>
    <w:rsid w:val="00E85FD7"/>
    <w:rsid w:val="00E87B41"/>
    <w:rsid w:val="00EA3090"/>
    <w:rsid w:val="00EB0D6F"/>
    <w:rsid w:val="00EB1AD2"/>
    <w:rsid w:val="00EB533B"/>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1"/>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4B6F-E8D9-4763-AF45-D2C514C5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8219</Words>
  <Characters>46852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54962</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Синицын Евгений A.</cp:lastModifiedBy>
  <cp:revision>2</cp:revision>
  <cp:lastPrinted>2022-01-14T09:13:00Z</cp:lastPrinted>
  <dcterms:created xsi:type="dcterms:W3CDTF">2022-05-13T11:22:00Z</dcterms:created>
  <dcterms:modified xsi:type="dcterms:W3CDTF">2022-05-13T11:22:00Z</dcterms:modified>
</cp:coreProperties>
</file>