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9A0" w:rsidRDefault="007139A0">
      <w:pPr>
        <w:pStyle w:val="af6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139A0" w:rsidRDefault="009E6904">
      <w:pPr>
        <w:pStyle w:val="af6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ПАМЯТКА ЗАКАЗЧИКУ </w:t>
      </w:r>
    </w:p>
    <w:p w:rsidR="007139A0" w:rsidRDefault="009E6904">
      <w:pPr>
        <w:pStyle w:val="af6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предупреждению поставок </w:t>
      </w:r>
    </w:p>
    <w:p w:rsidR="007139A0" w:rsidRDefault="009E6904">
      <w:pPr>
        <w:pStyle w:val="af6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фальсифицированной (некачественной) продукции</w:t>
      </w:r>
    </w:p>
    <w:p w:rsidR="007139A0" w:rsidRDefault="007139A0">
      <w:pPr>
        <w:pStyle w:val="af6"/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139A0">
        <w:tc>
          <w:tcPr>
            <w:tcW w:w="9628" w:type="dxa"/>
            <w:shd w:val="clear" w:color="auto" w:fill="F2F2F2" w:themeFill="background1" w:themeFillShade="F2"/>
          </w:tcPr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1. Применение методических рекомендаций на каждом этапе осуществления закупки продуктов питания</w:t>
            </w:r>
          </w:p>
        </w:tc>
      </w:tr>
      <w:tr w:rsidR="007139A0">
        <w:tc>
          <w:tcPr>
            <w:tcW w:w="9628" w:type="dxa"/>
          </w:tcPr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</w:pPr>
            <w:r>
              <w:t xml:space="preserve">Методические рекомендации по организации закупок и порядку приемки продуктов питания и методические рекомендации по ведению претензионной и исковой работы </w:t>
            </w:r>
            <w:r>
              <w:br/>
              <w:t>в рамках исполнения контрактов разработаны Комитетом по конкурентной политике Мурманской области в п</w:t>
            </w:r>
            <w:r>
              <w:t>омощь заказчикам Мурманской области при осуществлении закупок продуктов питания.</w:t>
            </w:r>
          </w:p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Методические рекомендации помогут заказчикам:</w:t>
            </w:r>
          </w:p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>предотвратить ошибки на всех этапах закупки продуктов питания;</w:t>
            </w:r>
          </w:p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>грамотно подготовить документы к закупке;</w:t>
            </w:r>
          </w:p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>обеспечить четкий процес</w:t>
            </w:r>
            <w:r>
              <w:t xml:space="preserve">с действий при приемке продукции и фиксации нарушений </w:t>
            </w:r>
            <w:r>
              <w:br/>
              <w:t>со стороны поставщиков;</w:t>
            </w:r>
          </w:p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 xml:space="preserve">обеспечить контроль </w:t>
            </w:r>
            <w:proofErr w:type="spellStart"/>
            <w:r>
              <w:t>прослеживаемости</w:t>
            </w:r>
            <w:proofErr w:type="spellEnd"/>
            <w:r>
              <w:t>.</w:t>
            </w:r>
          </w:p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  <w:rPr>
                <w:b/>
              </w:rPr>
            </w:pPr>
            <w:r>
              <w:t xml:space="preserve">Методические рекомендации размещены на официальном сайте Комитета </w:t>
            </w:r>
            <w:hyperlink r:id="rId9" w:tooltip="https://goszakaz.gov-murman.ru" w:history="1">
              <w:r>
                <w:rPr>
                  <w:rStyle w:val="af1"/>
                </w:rPr>
                <w:t>https://</w:t>
              </w:r>
              <w:proofErr w:type="spellStart"/>
              <w:r>
                <w:rPr>
                  <w:rStyle w:val="af1"/>
                </w:rPr>
                <w:t>goszakaz.gov-murman.ru</w:t>
              </w:r>
              <w:proofErr w:type="spellEnd"/>
            </w:hyperlink>
            <w:r>
              <w:t>: раздел «</w:t>
            </w:r>
            <w:hyperlink r:id="rId10" w:tooltip="https://goszakaz.gov-murman.ru/documents/npa44/met_materials/metodicheskie-rekomendatsii-komiteta/" w:history="1">
              <w:r>
                <w:rPr>
                  <w:rStyle w:val="af1"/>
                </w:rPr>
                <w:t>Документы &gt; 44-ФЗ &gt; Методические материалы  &gt; Методические рекомендации</w:t>
              </w:r>
            </w:hyperlink>
            <w:r>
              <w:t>».</w:t>
            </w:r>
          </w:p>
        </w:tc>
      </w:tr>
      <w:tr w:rsidR="007139A0">
        <w:tc>
          <w:tcPr>
            <w:tcW w:w="9628" w:type="dxa"/>
            <w:shd w:val="clear" w:color="auto" w:fill="F2F2F2" w:themeFill="background1" w:themeFillShade="F2"/>
          </w:tcPr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2. Обязательное применение типового контракта</w:t>
            </w:r>
          </w:p>
        </w:tc>
      </w:tr>
      <w:tr w:rsidR="007139A0">
        <w:tc>
          <w:tcPr>
            <w:tcW w:w="9628" w:type="dxa"/>
          </w:tcPr>
          <w:p w:rsidR="007139A0" w:rsidRDefault="009E6904">
            <w:pPr>
              <w:pStyle w:val="af6"/>
              <w:tabs>
                <w:tab w:val="left" w:pos="993"/>
              </w:tabs>
              <w:jc w:val="both"/>
              <w:rPr>
                <w:b/>
              </w:rPr>
            </w:pPr>
            <w:r>
              <w:t xml:space="preserve">Приказ Минсельхоза России от 19.03.2020 № 140 «Об утверждении типового контракта </w:t>
            </w:r>
            <w:r>
              <w:br/>
              <w:t>на поставку продуктов питания»</w:t>
            </w:r>
          </w:p>
        </w:tc>
      </w:tr>
      <w:tr w:rsidR="007139A0">
        <w:tc>
          <w:tcPr>
            <w:tcW w:w="9628" w:type="dxa"/>
            <w:shd w:val="clear" w:color="auto" w:fill="F2F2F2" w:themeFill="background1" w:themeFillShade="F2"/>
          </w:tcPr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3. Четкий порядок приемки и экспертизы </w:t>
            </w:r>
          </w:p>
        </w:tc>
      </w:tr>
      <w:tr w:rsidR="007139A0">
        <w:tc>
          <w:tcPr>
            <w:tcW w:w="9628" w:type="dxa"/>
          </w:tcPr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</w:pPr>
            <w:r>
              <w:t>Каждый работник заказчика при приемке должен знать «что и как» проверять.</w:t>
            </w:r>
          </w:p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</w:pPr>
            <w:r>
              <w:t>В целях обеспечения оперативности действий заказчика необходимо:</w:t>
            </w:r>
          </w:p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>провести аудит процесса приемки;</w:t>
            </w:r>
          </w:p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>по итогам аудита скорректировать текущие де</w:t>
            </w:r>
            <w:r>
              <w:t>йствия работников;</w:t>
            </w:r>
          </w:p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 xml:space="preserve">дать работникам четкий алгоритм действий: что </w:t>
            </w:r>
            <w:proofErr w:type="gramStart"/>
            <w:r>
              <w:t>проверять и требовать</w:t>
            </w:r>
            <w:proofErr w:type="gramEnd"/>
            <w:r>
              <w:t xml:space="preserve"> при приемке. </w:t>
            </w:r>
          </w:p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Алгоритм действий по приемке и экспертизе:</w:t>
            </w:r>
          </w:p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  <w:rPr>
                <w:b/>
              </w:rPr>
            </w:pPr>
            <w:r>
              <w:t>1)</w:t>
            </w:r>
            <w:r>
              <w:rPr>
                <w:b/>
              </w:rPr>
              <w:t xml:space="preserve"> </w:t>
            </w:r>
            <w:r>
              <w:t>проверка документов, передаваемых с товаром, на соответствие установленным контрактом требованиям;</w:t>
            </w:r>
          </w:p>
          <w:p w:rsidR="007139A0" w:rsidRDefault="009E6904">
            <w:pPr>
              <w:tabs>
                <w:tab w:val="left" w:pos="993"/>
              </w:tabs>
              <w:jc w:val="both"/>
            </w:pPr>
            <w:r>
              <w:t xml:space="preserve">2) проверка маркировки (при ее обязательности для данных товаров) на упаковке продукции на предмет наличия всей обязательной информации о товаре и изготовителе, </w:t>
            </w:r>
            <w:r>
              <w:br/>
              <w:t>а также проверка электронной маркировки в системе «Честный знак»;</w:t>
            </w:r>
          </w:p>
          <w:p w:rsidR="007139A0" w:rsidRDefault="009E6904">
            <w:pPr>
              <w:tabs>
                <w:tab w:val="left" w:pos="993"/>
              </w:tabs>
              <w:jc w:val="both"/>
            </w:pPr>
            <w:r>
              <w:t>3) проверка электронных вете</w:t>
            </w:r>
            <w:r>
              <w:t xml:space="preserve">ринарных сопроводительных документов в компоненте «Меркурий» федеральной государственной информационной системы в области ветеринарии (далее - </w:t>
            </w:r>
            <w:proofErr w:type="spellStart"/>
            <w:r>
              <w:t>ФГИС</w:t>
            </w:r>
            <w:proofErr w:type="spellEnd"/>
            <w:r>
              <w:t xml:space="preserve"> «</w:t>
            </w:r>
            <w:proofErr w:type="spellStart"/>
            <w:r>
              <w:t>ВетИС</w:t>
            </w:r>
            <w:proofErr w:type="spellEnd"/>
            <w:r>
              <w:t>»);</w:t>
            </w:r>
          </w:p>
          <w:p w:rsidR="007139A0" w:rsidRDefault="009E6904">
            <w:pPr>
              <w:tabs>
                <w:tab w:val="left" w:pos="993"/>
              </w:tabs>
              <w:jc w:val="both"/>
            </w:pPr>
            <w:r>
              <w:t>4) использование при оценке качества молочной продукции сведений о фактах нарушения производителям</w:t>
            </w:r>
            <w:r>
              <w:t>и требований технических регламентов, выявленных в ходе контрольно-надзорных мероприятий</w:t>
            </w:r>
            <w:r>
              <w:rPr>
                <w:rStyle w:val="af4"/>
              </w:rPr>
              <w:footnoteReference w:id="1"/>
            </w:r>
            <w:r>
              <w:t>;</w:t>
            </w:r>
          </w:p>
          <w:p w:rsidR="007139A0" w:rsidRDefault="009E6904">
            <w:pPr>
              <w:tabs>
                <w:tab w:val="left" w:pos="993"/>
              </w:tabs>
              <w:jc w:val="both"/>
            </w:pPr>
            <w:r>
              <w:t xml:space="preserve">5) направление обращений в </w:t>
            </w:r>
            <w:proofErr w:type="spellStart"/>
            <w:r>
              <w:t>ГОБВУ</w:t>
            </w:r>
            <w:proofErr w:type="spellEnd"/>
            <w:r>
              <w:t xml:space="preserve"> «Мурманская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СББЖ</w:t>
            </w:r>
            <w:proofErr w:type="spellEnd"/>
            <w:r>
              <w:t xml:space="preserve">» с целью проверки </w:t>
            </w:r>
            <w:proofErr w:type="spellStart"/>
            <w:r>
              <w:t>прослеживаемости</w:t>
            </w:r>
            <w:proofErr w:type="spellEnd"/>
            <w:r>
              <w:t xml:space="preserve"> продукции в компоненте «Меркурий» </w:t>
            </w:r>
            <w:proofErr w:type="spellStart"/>
            <w:r>
              <w:t>ФГИС</w:t>
            </w:r>
            <w:proofErr w:type="spellEnd"/>
            <w:r>
              <w:t xml:space="preserve"> «</w:t>
            </w:r>
            <w:proofErr w:type="spellStart"/>
            <w:r>
              <w:t>ВетИС</w:t>
            </w:r>
            <w:proofErr w:type="spellEnd"/>
            <w:r>
              <w:t>» в отношении каждой партии тов</w:t>
            </w:r>
            <w:r>
              <w:t>ара (за исключением производителя продукции, в отношении которого проверка осуществлялась ранее)</w:t>
            </w:r>
            <w:r>
              <w:rPr>
                <w:rStyle w:val="af4"/>
              </w:rPr>
              <w:footnoteReference w:id="2"/>
            </w:r>
            <w:r>
              <w:t>;</w:t>
            </w:r>
          </w:p>
          <w:p w:rsidR="007139A0" w:rsidRDefault="009E6904">
            <w:pPr>
              <w:tabs>
                <w:tab w:val="left" w:pos="993"/>
              </w:tabs>
              <w:jc w:val="both"/>
            </w:pPr>
            <w:r>
              <w:lastRenderedPageBreak/>
              <w:t>6) направление обращений в Россельхознадзор за проведением  лабораторной экспертизы (по показателям безопасности и качества продукции) в рамках пищевого мони</w:t>
            </w:r>
            <w:r>
              <w:t xml:space="preserve">торинга (подробный алгоритм содержится </w:t>
            </w:r>
            <w:proofErr w:type="gramStart"/>
            <w:r>
              <w:t>в</w:t>
            </w:r>
            <w:proofErr w:type="gramEnd"/>
            <w:r>
              <w:t xml:space="preserve"> методических рекомендация Комитета).</w:t>
            </w:r>
          </w:p>
        </w:tc>
      </w:tr>
      <w:tr w:rsidR="007139A0">
        <w:tc>
          <w:tcPr>
            <w:tcW w:w="9628" w:type="dxa"/>
            <w:shd w:val="clear" w:color="auto" w:fill="F2F2F2" w:themeFill="background1" w:themeFillShade="F2"/>
          </w:tcPr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4. Применение </w:t>
            </w:r>
            <w:proofErr w:type="gramStart"/>
            <w:r>
              <w:rPr>
                <w:b/>
              </w:rPr>
              <w:t>риск-ориентированного</w:t>
            </w:r>
            <w:proofErr w:type="gramEnd"/>
            <w:r>
              <w:rPr>
                <w:b/>
              </w:rPr>
              <w:t xml:space="preserve"> подхода </w:t>
            </w:r>
          </w:p>
        </w:tc>
      </w:tr>
      <w:tr w:rsidR="007139A0">
        <w:tc>
          <w:tcPr>
            <w:tcW w:w="9628" w:type="dxa"/>
          </w:tcPr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</w:pPr>
            <w:r>
              <w:t>Внимание к фактам, которые могут напрямую повлиять на качество поставляемой продукции:</w:t>
            </w:r>
          </w:p>
          <w:p w:rsidR="007139A0" w:rsidRDefault="009E6904" w:rsidP="009E6904">
            <w:pPr>
              <w:pStyle w:val="af6"/>
              <w:tabs>
                <w:tab w:val="left" w:pos="313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>снижение цены контракта по результатам опред</w:t>
            </w:r>
            <w:r>
              <w:t xml:space="preserve">еления поставщика более чем на 25% </w:t>
            </w:r>
            <w:r>
              <w:br/>
              <w:t>по отношению к начальной (максимальной) цене контракта;</w:t>
            </w:r>
          </w:p>
          <w:p w:rsidR="007139A0" w:rsidRDefault="009E6904" w:rsidP="009E6904">
            <w:pPr>
              <w:pStyle w:val="af6"/>
              <w:tabs>
                <w:tab w:val="left" w:pos="313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>предложение участником закупки цены единицы товара существенно ниже среднерыночной цены на аналогичные продукты питания в регионе;</w:t>
            </w:r>
          </w:p>
          <w:p w:rsidR="007139A0" w:rsidRDefault="009E6904" w:rsidP="009E6904">
            <w:pPr>
              <w:pStyle w:val="af6"/>
              <w:tabs>
                <w:tab w:val="left" w:pos="313"/>
              </w:tabs>
              <w:spacing w:before="0" w:beforeAutospacing="0" w:after="0" w:afterAutospacing="0"/>
              <w:jc w:val="both"/>
              <w:rPr>
                <w:rStyle w:val="af1"/>
                <w:color w:val="auto"/>
                <w:u w:val="none"/>
              </w:rPr>
            </w:pPr>
            <w:r>
              <w:t xml:space="preserve">- </w:t>
            </w:r>
            <w:r>
              <w:t xml:space="preserve">наличие информации о производителе партии продукции в перечне изготовителей, допустивших изготовление фальсифицированной продукции, что установлено в рамках государственного мониторинга (сведения размещены на официальных сайтах территориальных органов </w:t>
            </w:r>
            <w:hyperlink r:id="rId11" w:tooltip="https://51.rospotrebnadzor.ru/content/876/" w:history="1">
              <w:proofErr w:type="spellStart"/>
              <w:r>
                <w:rPr>
                  <w:rStyle w:val="af1"/>
                </w:rPr>
                <w:t>Роспотребнадзора</w:t>
              </w:r>
              <w:proofErr w:type="spellEnd"/>
            </w:hyperlink>
            <w:r>
              <w:t xml:space="preserve"> и </w:t>
            </w:r>
            <w:hyperlink r:id="rId12" w:tooltip="https://fsvps.gov.ru" w:history="1">
              <w:proofErr w:type="spellStart"/>
              <w:r>
                <w:rPr>
                  <w:rStyle w:val="af1"/>
                </w:rPr>
                <w:t>Россельхознадзора</w:t>
              </w:r>
              <w:proofErr w:type="spellEnd"/>
            </w:hyperlink>
            <w:r>
              <w:rPr>
                <w:rStyle w:val="af1"/>
              </w:rPr>
              <w:t>)</w:t>
            </w:r>
            <w:r>
              <w:rPr>
                <w:rStyle w:val="af1"/>
                <w:color w:val="auto"/>
                <w:u w:val="none"/>
              </w:rPr>
              <w:t>;</w:t>
            </w:r>
          </w:p>
          <w:p w:rsidR="007139A0" w:rsidRDefault="009E6904" w:rsidP="009E6904">
            <w:pPr>
              <w:pStyle w:val="af6"/>
              <w:tabs>
                <w:tab w:val="left" w:pos="313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>неоднократное нарушение поставщиком требований к ка</w:t>
            </w:r>
            <w:r>
              <w:t xml:space="preserve">честву и безопасности поставляемой продукции. </w:t>
            </w:r>
          </w:p>
          <w:p w:rsidR="007139A0" w:rsidRDefault="009E6904">
            <w:pPr>
              <w:pStyle w:val="af6"/>
              <w:tabs>
                <w:tab w:val="left" w:pos="313"/>
              </w:tabs>
              <w:spacing w:before="0" w:beforeAutospacing="0" w:after="0" w:afterAutospacing="0"/>
              <w:jc w:val="both"/>
            </w:pPr>
            <w:r>
              <w:t xml:space="preserve">В случае наличия указанных факторов заказчику </w:t>
            </w:r>
            <w:r>
              <w:rPr>
                <w:b/>
              </w:rPr>
              <w:t xml:space="preserve">необходимо усилить </w:t>
            </w:r>
            <w:proofErr w:type="gramStart"/>
            <w:r>
              <w:rPr>
                <w:b/>
              </w:rPr>
              <w:t>контроль</w:t>
            </w:r>
            <w:r>
              <w:t xml:space="preserve"> </w:t>
            </w:r>
            <w:r>
              <w:br/>
              <w:t>за</w:t>
            </w:r>
            <w:proofErr w:type="gramEnd"/>
            <w:r>
              <w:t xml:space="preserve"> качеством и безопасностью поставляемой продукции, в том числе рассмотреть вопрос </w:t>
            </w:r>
            <w:r>
              <w:br/>
              <w:t>о проведении проверки на предмет ее фальсификации</w:t>
            </w:r>
            <w:r>
              <w:t xml:space="preserve"> посредством проведения лабораторной экспертизы.</w:t>
            </w:r>
          </w:p>
        </w:tc>
      </w:tr>
      <w:tr w:rsidR="007139A0">
        <w:tc>
          <w:tcPr>
            <w:tcW w:w="9628" w:type="dxa"/>
            <w:shd w:val="clear" w:color="auto" w:fill="F2F2F2" w:themeFill="background1" w:themeFillShade="F2"/>
          </w:tcPr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5. Принятие активных мер реагирования по фактам нарушений условий контрактов поставщиками, допустившими поставку фальсификата</w:t>
            </w:r>
          </w:p>
        </w:tc>
      </w:tr>
      <w:tr w:rsidR="007139A0">
        <w:tc>
          <w:tcPr>
            <w:tcW w:w="9628" w:type="dxa"/>
          </w:tcPr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bookmarkStart w:id="0" w:name="_GoBack"/>
            <w:bookmarkEnd w:id="0"/>
            <w:r>
              <w:t>направл</w:t>
            </w:r>
            <w:r>
              <w:t>ение информации о выявленных фактах поставки фальсифицированной продукции в Россельхознадзор, прокуратуру Мурманской области для принятия с их стороны мер реагирования, в Комитет с целью оказания содействия в вопросах ведения претензионной и исковой работы</w:t>
            </w:r>
            <w:r>
              <w:t>;</w:t>
            </w:r>
          </w:p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>обязательное применение мер ответственности за ненадлежащее исполнение контракта (штраф за нарушение требований к качеству и безопасности продукции в размере, установленном контрактом);</w:t>
            </w:r>
          </w:p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>расторжение контракта в одностороннем порядке с последующим направле</w:t>
            </w:r>
            <w:r>
              <w:t>нием информации о поставщике в УФАС Мурманской области;</w:t>
            </w:r>
          </w:p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>
              <w:t xml:space="preserve">взыскание с поставщика в судебном порядке денежных средств, уплаченных </w:t>
            </w:r>
            <w:r>
              <w:br/>
              <w:t xml:space="preserve">за поставку фальсифицированной продукции (обзор положительной судебной практики содержится в письме </w:t>
            </w:r>
            <w:proofErr w:type="spellStart"/>
            <w:r>
              <w:t>Россельхознадзора</w:t>
            </w:r>
            <w:proofErr w:type="spellEnd"/>
            <w:r>
              <w:t xml:space="preserve"> от 15.04.2</w:t>
            </w:r>
            <w:r>
              <w:t>026 № 01/К-9393);</w:t>
            </w:r>
          </w:p>
          <w:p w:rsidR="007139A0" w:rsidRDefault="009E6904" w:rsidP="009E6904">
            <w:pPr>
              <w:pStyle w:val="af6"/>
              <w:tabs>
                <w:tab w:val="left" w:pos="284"/>
              </w:tabs>
              <w:spacing w:before="0" w:beforeAutospacing="0" w:after="0" w:afterAutospacing="0"/>
              <w:jc w:val="both"/>
            </w:pPr>
            <w:r>
              <w:t xml:space="preserve">усиление </w:t>
            </w:r>
            <w:proofErr w:type="gramStart"/>
            <w:r>
              <w:t>контроля за</w:t>
            </w:r>
            <w:proofErr w:type="gramEnd"/>
            <w:r>
              <w:t xml:space="preserve"> качеством продукции, поставляемой контрагентами, допускающими систематические нарушения. </w:t>
            </w:r>
          </w:p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</w:pPr>
            <w:r>
              <w:t xml:space="preserve">ВНИМАНИЕ! </w:t>
            </w:r>
          </w:p>
          <w:p w:rsidR="007139A0" w:rsidRDefault="009E6904">
            <w:pPr>
              <w:pStyle w:val="af6"/>
              <w:tabs>
                <w:tab w:val="left" w:pos="993"/>
              </w:tabs>
              <w:spacing w:before="0" w:beforeAutospacing="0" w:after="0" w:afterAutospacing="0"/>
              <w:jc w:val="both"/>
            </w:pPr>
            <w:r>
              <w:t>Установлена административная ответственность заказчика по 44-ФЗ:</w:t>
            </w:r>
          </w:p>
          <w:p w:rsidR="007139A0" w:rsidRDefault="009E6904">
            <w:pPr>
              <w:pStyle w:val="af6"/>
              <w:numPr>
                <w:ilvl w:val="0"/>
                <w:numId w:val="15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</w:pPr>
            <w:r>
              <w:t>приемка товара, несоответствующего условиям контрак</w:t>
            </w:r>
            <w:r>
              <w:t>та: штраф 1% цены контракта, но не менее 50 тыс. руб. и не более 200 тыс. руб. (ч. 7 ст. 7.30.2 КоАП РФ);</w:t>
            </w:r>
          </w:p>
          <w:p w:rsidR="007139A0" w:rsidRDefault="009E6904">
            <w:pPr>
              <w:pStyle w:val="af6"/>
              <w:numPr>
                <w:ilvl w:val="0"/>
                <w:numId w:val="15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</w:pPr>
            <w:r>
              <w:t>неприменение мер ответственности к поставщику в случае нарушения им условий контракта: штраф от 10 до 20 тыс. руб. (ч. 6 ст. 7.30.2 КоАП РФ).</w:t>
            </w:r>
          </w:p>
        </w:tc>
      </w:tr>
    </w:tbl>
    <w:p w:rsidR="007139A0" w:rsidRDefault="007139A0">
      <w:pPr>
        <w:pStyle w:val="af6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139A0" w:rsidRDefault="007139A0"/>
    <w:sectPr w:rsidR="007139A0">
      <w:headerReference w:type="default" r:id="rId13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9A0" w:rsidRDefault="009E6904">
      <w:r>
        <w:separator/>
      </w:r>
    </w:p>
  </w:endnote>
  <w:endnote w:type="continuationSeparator" w:id="0">
    <w:p w:rsidR="007139A0" w:rsidRDefault="009E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9A0" w:rsidRDefault="009E6904">
      <w:r>
        <w:separator/>
      </w:r>
    </w:p>
  </w:footnote>
  <w:footnote w:type="continuationSeparator" w:id="0">
    <w:p w:rsidR="007139A0" w:rsidRDefault="009E6904">
      <w:r>
        <w:continuationSeparator/>
      </w:r>
    </w:p>
  </w:footnote>
  <w:footnote w:id="1">
    <w:p w:rsidR="007139A0" w:rsidRDefault="009E6904">
      <w:pPr>
        <w:pStyle w:val="af2"/>
        <w:jc w:val="both"/>
      </w:pPr>
      <w:r>
        <w:rPr>
          <w:rStyle w:val="af4"/>
        </w:rPr>
        <w:footnoteRef/>
      </w:r>
      <w:r>
        <w:t xml:space="preserve"> Информация содержится на официальном сайте государственного информационного ресурса в сфере защиты прав потребителей </w:t>
      </w:r>
      <w:hyperlink r:id="rId1" w:tooltip="https://zpp.rospotrebnadzor.ru" w:history="1">
        <w:r>
          <w:rPr>
            <w:rStyle w:val="af1"/>
          </w:rPr>
          <w:t>https://</w:t>
        </w:r>
        <w:proofErr w:type="spellStart"/>
        <w:r>
          <w:rPr>
            <w:rStyle w:val="af1"/>
          </w:rPr>
          <w:t>zpp.rospotrebnadzor.ru</w:t>
        </w:r>
        <w:proofErr w:type="spellEnd"/>
      </w:hyperlink>
      <w:r>
        <w:t xml:space="preserve"> раздел </w:t>
      </w:r>
      <w:hyperlink r:id="rId2" w:tooltip="https://zpp.rospotrebnadzor.ru/badproducts/violations" w:history="1">
        <w:r>
          <w:rPr>
            <w:rStyle w:val="af1"/>
          </w:rPr>
          <w:t>«Проду</w:t>
        </w:r>
        <w:r>
          <w:rPr>
            <w:rStyle w:val="af1"/>
          </w:rPr>
          <w:t>кция, несоответствующая обязательным требованиям»</w:t>
        </w:r>
      </w:hyperlink>
      <w:r>
        <w:t>.</w:t>
      </w:r>
    </w:p>
  </w:footnote>
  <w:footnote w:id="2">
    <w:p w:rsidR="007139A0" w:rsidRDefault="009E6904">
      <w:pPr>
        <w:pStyle w:val="af2"/>
        <w:jc w:val="both"/>
      </w:pPr>
      <w:r>
        <w:rPr>
          <w:rStyle w:val="af4"/>
        </w:rPr>
        <w:footnoteRef/>
      </w:r>
      <w:r>
        <w:t xml:space="preserve"> Подробный алгоритм размещен на сайте Комитета по ветеринарии Мурманской области </w:t>
      </w:r>
      <w:hyperlink r:id="rId3" w:tooltip="https://veterinary.gov-murman.ru" w:history="1">
        <w:r>
          <w:rPr>
            <w:rStyle w:val="af1"/>
          </w:rPr>
          <w:t>https://</w:t>
        </w:r>
        <w:proofErr w:type="spellStart"/>
        <w:r>
          <w:rPr>
            <w:rStyle w:val="af1"/>
          </w:rPr>
          <w:t>veterinary.gov-murman.ru</w:t>
        </w:r>
        <w:proofErr w:type="spellEnd"/>
      </w:hyperlink>
      <w:r>
        <w:t>, ра</w:t>
      </w:r>
      <w:r>
        <w:t xml:space="preserve">здел </w:t>
      </w:r>
      <w:hyperlink r:id="rId4" w:tooltip="https://veterinary.gov-murman.ru/activities/ts" w:history="1">
        <w:r>
          <w:rPr>
            <w:rStyle w:val="af1"/>
          </w:rPr>
          <w:t>«Направления деятельности &gt; Борьба с фальсификатом»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9A0" w:rsidRDefault="009E6904">
    <w:pPr>
      <w:pStyle w:val="af8"/>
      <w:jc w:val="right"/>
      <w:rPr>
        <w:sz w:val="20"/>
        <w:szCs w:val="20"/>
      </w:rPr>
    </w:pPr>
    <w:r>
      <w:rPr>
        <w:sz w:val="20"/>
        <w:szCs w:val="20"/>
      </w:rPr>
      <w:t>Комитет по конкурентной политике Мурманской области</w:t>
    </w:r>
  </w:p>
  <w:p w:rsidR="007139A0" w:rsidRDefault="009E6904">
    <w:pPr>
      <w:pStyle w:val="af8"/>
      <w:jc w:val="right"/>
      <w:rPr>
        <w:sz w:val="20"/>
        <w:szCs w:val="20"/>
      </w:rPr>
    </w:pPr>
    <w:r>
      <w:rPr>
        <w:sz w:val="20"/>
        <w:szCs w:val="20"/>
      </w:rPr>
      <w:t>05.05.2026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C0CC3"/>
    <w:multiLevelType w:val="hybridMultilevel"/>
    <w:tmpl w:val="6F2C7CF8"/>
    <w:lvl w:ilvl="0" w:tplc="D29C54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C830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341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43A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67B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F08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688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254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00F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3160B"/>
    <w:multiLevelType w:val="hybridMultilevel"/>
    <w:tmpl w:val="9842B39A"/>
    <w:lvl w:ilvl="0" w:tplc="AC000F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8F8B34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F02E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3CCC81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DB6612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EA0BF7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724FE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92000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DC663F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E13F3E"/>
    <w:multiLevelType w:val="hybridMultilevel"/>
    <w:tmpl w:val="E89C4A6C"/>
    <w:lvl w:ilvl="0" w:tplc="7B04A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7A7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EA8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CC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7296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84C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0AF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FC12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B4D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D34B99"/>
    <w:multiLevelType w:val="hybridMultilevel"/>
    <w:tmpl w:val="D0B4414A"/>
    <w:lvl w:ilvl="0" w:tplc="372C1A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F1AD1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302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E2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4CF3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BC7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AC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6BA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8EF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909F9"/>
    <w:multiLevelType w:val="hybridMultilevel"/>
    <w:tmpl w:val="8AF8BE12"/>
    <w:lvl w:ilvl="0" w:tplc="6ED456D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AF0ACB4">
      <w:start w:val="1"/>
      <w:numFmt w:val="lowerLetter"/>
      <w:lvlText w:val="%2."/>
      <w:lvlJc w:val="left"/>
      <w:pPr>
        <w:ind w:left="1440" w:hanging="360"/>
      </w:pPr>
    </w:lvl>
    <w:lvl w:ilvl="2" w:tplc="F1CA84F4">
      <w:start w:val="1"/>
      <w:numFmt w:val="lowerRoman"/>
      <w:lvlText w:val="%3."/>
      <w:lvlJc w:val="right"/>
      <w:pPr>
        <w:ind w:left="2160" w:hanging="180"/>
      </w:pPr>
    </w:lvl>
    <w:lvl w:ilvl="3" w:tplc="E578AD0C">
      <w:start w:val="1"/>
      <w:numFmt w:val="decimal"/>
      <w:lvlText w:val="%4."/>
      <w:lvlJc w:val="left"/>
      <w:pPr>
        <w:ind w:left="2880" w:hanging="360"/>
      </w:pPr>
    </w:lvl>
    <w:lvl w:ilvl="4" w:tplc="4C6053BC">
      <w:start w:val="1"/>
      <w:numFmt w:val="lowerLetter"/>
      <w:lvlText w:val="%5."/>
      <w:lvlJc w:val="left"/>
      <w:pPr>
        <w:ind w:left="3600" w:hanging="360"/>
      </w:pPr>
    </w:lvl>
    <w:lvl w:ilvl="5" w:tplc="B83C7A6A">
      <w:start w:val="1"/>
      <w:numFmt w:val="lowerRoman"/>
      <w:lvlText w:val="%6."/>
      <w:lvlJc w:val="right"/>
      <w:pPr>
        <w:ind w:left="4320" w:hanging="180"/>
      </w:pPr>
    </w:lvl>
    <w:lvl w:ilvl="6" w:tplc="B9FEB69E">
      <w:start w:val="1"/>
      <w:numFmt w:val="decimal"/>
      <w:lvlText w:val="%7."/>
      <w:lvlJc w:val="left"/>
      <w:pPr>
        <w:ind w:left="5040" w:hanging="360"/>
      </w:pPr>
    </w:lvl>
    <w:lvl w:ilvl="7" w:tplc="701AF3FE">
      <w:start w:val="1"/>
      <w:numFmt w:val="lowerLetter"/>
      <w:lvlText w:val="%8."/>
      <w:lvlJc w:val="left"/>
      <w:pPr>
        <w:ind w:left="5760" w:hanging="360"/>
      </w:pPr>
    </w:lvl>
    <w:lvl w:ilvl="8" w:tplc="034E3F3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C0E43"/>
    <w:multiLevelType w:val="hybridMultilevel"/>
    <w:tmpl w:val="85184A08"/>
    <w:lvl w:ilvl="0" w:tplc="72802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79A3A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460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4CC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899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30A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78B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D2D1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2C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6C15B2"/>
    <w:multiLevelType w:val="hybridMultilevel"/>
    <w:tmpl w:val="F0B63452"/>
    <w:lvl w:ilvl="0" w:tplc="AA26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0BA30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964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44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50EC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98D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EC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620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BC72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C958EB"/>
    <w:multiLevelType w:val="hybridMultilevel"/>
    <w:tmpl w:val="13DA1312"/>
    <w:lvl w:ilvl="0" w:tplc="F9D28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CA1D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C4A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EE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A97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460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40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2ED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EA2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5E580A"/>
    <w:multiLevelType w:val="hybridMultilevel"/>
    <w:tmpl w:val="A59A725E"/>
    <w:lvl w:ilvl="0" w:tplc="DD140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0CD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6E0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54C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B8A8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9E8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9C0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C4E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5E5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AE5EA3"/>
    <w:multiLevelType w:val="hybridMultilevel"/>
    <w:tmpl w:val="A6F0C2A6"/>
    <w:lvl w:ilvl="0" w:tplc="DD5CA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780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AEE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8E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467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7CF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4F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0DE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7CF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E23E6"/>
    <w:multiLevelType w:val="hybridMultilevel"/>
    <w:tmpl w:val="BEE6332C"/>
    <w:lvl w:ilvl="0" w:tplc="968E6A80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2BFA61C2">
      <w:start w:val="1"/>
      <w:numFmt w:val="lowerLetter"/>
      <w:lvlText w:val="%2."/>
      <w:lvlJc w:val="left"/>
      <w:pPr>
        <w:ind w:left="1789" w:hanging="360"/>
      </w:pPr>
    </w:lvl>
    <w:lvl w:ilvl="2" w:tplc="B812FF8C">
      <w:start w:val="1"/>
      <w:numFmt w:val="lowerRoman"/>
      <w:lvlText w:val="%3."/>
      <w:lvlJc w:val="right"/>
      <w:pPr>
        <w:ind w:left="2509" w:hanging="180"/>
      </w:pPr>
    </w:lvl>
    <w:lvl w:ilvl="3" w:tplc="312A9F0C">
      <w:start w:val="1"/>
      <w:numFmt w:val="decimal"/>
      <w:lvlText w:val="%4."/>
      <w:lvlJc w:val="left"/>
      <w:pPr>
        <w:ind w:left="3229" w:hanging="360"/>
      </w:pPr>
    </w:lvl>
    <w:lvl w:ilvl="4" w:tplc="3C42281E">
      <w:start w:val="1"/>
      <w:numFmt w:val="lowerLetter"/>
      <w:lvlText w:val="%5."/>
      <w:lvlJc w:val="left"/>
      <w:pPr>
        <w:ind w:left="3949" w:hanging="360"/>
      </w:pPr>
    </w:lvl>
    <w:lvl w:ilvl="5" w:tplc="5184BC96">
      <w:start w:val="1"/>
      <w:numFmt w:val="lowerRoman"/>
      <w:lvlText w:val="%6."/>
      <w:lvlJc w:val="right"/>
      <w:pPr>
        <w:ind w:left="4669" w:hanging="180"/>
      </w:pPr>
    </w:lvl>
    <w:lvl w:ilvl="6" w:tplc="7E3E7D08">
      <w:start w:val="1"/>
      <w:numFmt w:val="decimal"/>
      <w:lvlText w:val="%7."/>
      <w:lvlJc w:val="left"/>
      <w:pPr>
        <w:ind w:left="5389" w:hanging="360"/>
      </w:pPr>
    </w:lvl>
    <w:lvl w:ilvl="7" w:tplc="01B2894E">
      <w:start w:val="1"/>
      <w:numFmt w:val="lowerLetter"/>
      <w:lvlText w:val="%8."/>
      <w:lvlJc w:val="left"/>
      <w:pPr>
        <w:ind w:left="6109" w:hanging="360"/>
      </w:pPr>
    </w:lvl>
    <w:lvl w:ilvl="8" w:tplc="13A03BAE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A1B4A5F"/>
    <w:multiLevelType w:val="hybridMultilevel"/>
    <w:tmpl w:val="A9106760"/>
    <w:lvl w:ilvl="0" w:tplc="49E2C820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F49CA25E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726038E4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D010A87A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CA966D82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84844068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4FF02928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5930DF0A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349ED746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2">
    <w:nsid w:val="6C6D5D3B"/>
    <w:multiLevelType w:val="hybridMultilevel"/>
    <w:tmpl w:val="DF7AE5CA"/>
    <w:lvl w:ilvl="0" w:tplc="1CECE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A44B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201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FEA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C0F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E64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44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EC4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3E4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63144A"/>
    <w:multiLevelType w:val="hybridMultilevel"/>
    <w:tmpl w:val="26143DB2"/>
    <w:lvl w:ilvl="0" w:tplc="2B3040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7DAD81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C265B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CA095D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5D048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74E00D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76C71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994E9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F7AF2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2BF66B1"/>
    <w:multiLevelType w:val="hybridMultilevel"/>
    <w:tmpl w:val="A7AA93A0"/>
    <w:lvl w:ilvl="0" w:tplc="D1F41A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8E3E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700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8C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A51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047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EE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A1C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CA7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8"/>
  </w:num>
  <w:num w:numId="5">
    <w:abstractNumId w:val="1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6"/>
  </w:num>
  <w:num w:numId="11">
    <w:abstractNumId w:val="7"/>
  </w:num>
  <w:num w:numId="12">
    <w:abstractNumId w:val="5"/>
  </w:num>
  <w:num w:numId="13">
    <w:abstractNumId w:val="9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9A0"/>
    <w:rsid w:val="007139A0"/>
    <w:rsid w:val="009E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color w:val="auto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b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eastAsiaTheme="majorEastAsia" w:cstheme="majorBidi"/>
      <w:b/>
      <w:szCs w:val="26"/>
    </w:rPr>
  </w:style>
  <w:style w:type="character" w:styleId="af1">
    <w:name w:val="Hyperlink"/>
    <w:basedOn w:val="a0"/>
    <w:uiPriority w:val="99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rFonts w:eastAsia="Times New Roman"/>
      <w:color w:val="auto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5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6">
    <w:name w:val="Normal (Web)"/>
    <w:basedOn w:val="a"/>
    <w:uiPriority w:val="99"/>
    <w:pPr>
      <w:spacing w:before="100" w:beforeAutospacing="1" w:after="100" w:afterAutospacing="1"/>
    </w:pPr>
  </w:style>
  <w:style w:type="table" w:styleId="af7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pPr>
      <w:tabs>
        <w:tab w:val="center" w:pos="4844"/>
        <w:tab w:val="right" w:pos="9689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eastAsia="Times New Roman"/>
      <w:color w:val="auto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844"/>
        <w:tab w:val="right" w:pos="9689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eastAsia="Times New Roman"/>
      <w:color w:val="auto"/>
      <w:lang w:eastAsia="ru-RU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color w:val="auto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b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eastAsiaTheme="majorEastAsia" w:cstheme="majorBidi"/>
      <w:b/>
      <w:szCs w:val="26"/>
    </w:rPr>
  </w:style>
  <w:style w:type="character" w:styleId="af1">
    <w:name w:val="Hyperlink"/>
    <w:basedOn w:val="a0"/>
    <w:uiPriority w:val="99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rFonts w:eastAsia="Times New Roman"/>
      <w:color w:val="auto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5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6">
    <w:name w:val="Normal (Web)"/>
    <w:basedOn w:val="a"/>
    <w:uiPriority w:val="99"/>
    <w:pPr>
      <w:spacing w:before="100" w:beforeAutospacing="1" w:after="100" w:afterAutospacing="1"/>
    </w:pPr>
  </w:style>
  <w:style w:type="table" w:styleId="af7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pPr>
      <w:tabs>
        <w:tab w:val="center" w:pos="4844"/>
        <w:tab w:val="right" w:pos="9689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eastAsia="Times New Roman"/>
      <w:color w:val="auto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844"/>
        <w:tab w:val="right" w:pos="9689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eastAsia="Times New Roman"/>
      <w:color w:val="auto"/>
      <w:lang w:eastAsia="ru-RU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svp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51.rospotrebnadzor.ru/content/876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goszakaz.gov-murman.ru/documents/npa44/met_materials/metodicheskie-rekomendatsii-komite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oszakaz.gov-murman.ru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veterinary.gov-murman.ru" TargetMode="External"/><Relationship Id="rId2" Type="http://schemas.openxmlformats.org/officeDocument/2006/relationships/hyperlink" Target="https://zpp.rospotrebnadzor.ru/badproducts/violations" TargetMode="External"/><Relationship Id="rId1" Type="http://schemas.openxmlformats.org/officeDocument/2006/relationships/hyperlink" Target="https://zpp.rospotrebnadzor.ru" TargetMode="External"/><Relationship Id="rId4" Type="http://schemas.openxmlformats.org/officeDocument/2006/relationships/hyperlink" Target="https://veterinary.gov-murman.ru/activities/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65EBE-A4C3-46A8-B649-347AA4852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4873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Стешенко И.С.</dc:creator>
  <cp:lastModifiedBy>Еремеева А.Ю.</cp:lastModifiedBy>
  <cp:revision>5</cp:revision>
  <dcterms:created xsi:type="dcterms:W3CDTF">2026-05-07T14:23:00Z</dcterms:created>
  <dcterms:modified xsi:type="dcterms:W3CDTF">2026-05-08T08:19:00Z</dcterms:modified>
</cp:coreProperties>
</file>